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39CCA" w14:textId="2836DC0F" w:rsidR="00CD4C7B" w:rsidRPr="00B266B0" w:rsidRDefault="00CD4C7B" w:rsidP="00CD4C7B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EE022B">
        <w:rPr>
          <w:noProof w:val="0"/>
          <w:sz w:val="24"/>
          <w:szCs w:val="24"/>
        </w:rPr>
        <w:t>7</w:t>
      </w:r>
      <w:r w:rsidR="00741EC5">
        <w:rPr>
          <w:noProof w:val="0"/>
          <w:sz w:val="24"/>
          <w:szCs w:val="24"/>
        </w:rPr>
        <w:t>e</w:t>
      </w:r>
      <w:r w:rsidR="001B5DF8">
        <w:rPr>
          <w:noProof w:val="0"/>
          <w:sz w:val="24"/>
          <w:szCs w:val="24"/>
        </w:rPr>
        <w:t>-bis</w:t>
      </w:r>
      <w:r w:rsidRPr="00B266B0">
        <w:rPr>
          <w:bCs/>
          <w:noProof w:val="0"/>
          <w:sz w:val="24"/>
          <w:szCs w:val="24"/>
        </w:rPr>
        <w:tab/>
      </w:r>
      <w:r w:rsidR="00C85FFB" w:rsidRPr="00C85FFB">
        <w:rPr>
          <w:bCs/>
          <w:noProof w:val="0"/>
          <w:sz w:val="24"/>
          <w:szCs w:val="24"/>
        </w:rPr>
        <w:t>R3-225752</w:t>
      </w:r>
    </w:p>
    <w:p w14:paraId="1822B173" w14:textId="52EA3AB6" w:rsidR="00CD4C7B" w:rsidRPr="00B1063A" w:rsidRDefault="00797D4B" w:rsidP="00CD4C7B">
      <w:pPr>
        <w:pStyle w:val="a3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EE022B">
        <w:rPr>
          <w:rFonts w:cs="Arial"/>
          <w:sz w:val="24"/>
          <w:szCs w:val="24"/>
        </w:rPr>
        <w:t>1</w:t>
      </w:r>
      <w:r w:rsidR="001B5DF8">
        <w:rPr>
          <w:rFonts w:cs="Arial"/>
          <w:sz w:val="24"/>
          <w:szCs w:val="24"/>
        </w:rPr>
        <w:t>0</w:t>
      </w:r>
      <w:r w:rsidR="006B36A5" w:rsidRPr="006B36A5">
        <w:rPr>
          <w:rFonts w:cs="Arial"/>
          <w:sz w:val="24"/>
          <w:szCs w:val="24"/>
        </w:rPr>
        <w:t xml:space="preserve"> – </w:t>
      </w:r>
      <w:r w:rsidR="001B5DF8">
        <w:rPr>
          <w:rFonts w:cs="Arial"/>
          <w:sz w:val="24"/>
          <w:szCs w:val="24"/>
        </w:rPr>
        <w:t>18</w:t>
      </w:r>
      <w:r w:rsidR="00EE022B">
        <w:rPr>
          <w:rFonts w:cs="Arial"/>
          <w:sz w:val="24"/>
          <w:szCs w:val="24"/>
        </w:rPr>
        <w:t xml:space="preserve"> </w:t>
      </w:r>
      <w:r w:rsidR="001B5DF8">
        <w:rPr>
          <w:rFonts w:cs="Arial"/>
          <w:sz w:val="24"/>
          <w:szCs w:val="24"/>
        </w:rPr>
        <w:t>Oct</w:t>
      </w:r>
      <w:r w:rsidR="007F2676" w:rsidRPr="000804F0">
        <w:rPr>
          <w:rFonts w:cs="Arial"/>
          <w:sz w:val="24"/>
          <w:szCs w:val="24"/>
          <w:lang w:val="en-US"/>
        </w:rPr>
        <w:t>, 202</w:t>
      </w:r>
      <w:r w:rsidR="007F2676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a3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a3"/>
        <w:rPr>
          <w:bCs/>
          <w:noProof w:val="0"/>
          <w:sz w:val="24"/>
          <w:lang w:val="en-US"/>
        </w:rPr>
      </w:pPr>
    </w:p>
    <w:p w14:paraId="3B0EF5F6" w14:textId="1F4078B5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342065">
        <w:rPr>
          <w:rFonts w:cs="Arial"/>
          <w:b/>
          <w:bCs/>
          <w:sz w:val="24"/>
          <w:lang w:val="en-US" w:eastAsia="ja-JP"/>
        </w:rPr>
        <w:t>13.2</w:t>
      </w:r>
    </w:p>
    <w:p w14:paraId="47FEC04C" w14:textId="296E550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338388F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B5FD6">
        <w:rPr>
          <w:rFonts w:ascii="Arial" w:hAnsi="Arial" w:cs="Arial"/>
          <w:b/>
          <w:bCs/>
          <w:sz w:val="24"/>
        </w:rPr>
        <w:t xml:space="preserve">Discussion on </w:t>
      </w:r>
      <w:r w:rsidR="0070147B" w:rsidRPr="0070147B">
        <w:rPr>
          <w:rFonts w:ascii="Arial" w:hAnsi="Arial" w:cs="Arial"/>
          <w:b/>
          <w:bCs/>
          <w:sz w:val="24"/>
        </w:rPr>
        <w:t>IAB-node mobility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157E3711" w14:textId="5F431525" w:rsidR="00800860" w:rsidRDefault="007E1F12" w:rsidP="00CD4C7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03F3E7" wp14:editId="1E46AB8A">
                <wp:simplePos x="0" y="0"/>
                <wp:positionH relativeFrom="column">
                  <wp:posOffset>-25400</wp:posOffset>
                </wp:positionH>
                <wp:positionV relativeFrom="paragraph">
                  <wp:posOffset>333375</wp:posOffset>
                </wp:positionV>
                <wp:extent cx="5934710" cy="3665855"/>
                <wp:effectExtent l="0" t="0" r="27940" b="10795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710" cy="3665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6706A2" w14:textId="77777777" w:rsidR="00FA5EEC" w:rsidRPr="00307733" w:rsidRDefault="00FA5EEC" w:rsidP="0030773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360"/>
                              <w:contextualSpacing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As already supported in Rel17, a mobile IAB-MT and </w:t>
                            </w:r>
                            <w:proofErr w:type="gramStart"/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>its</w:t>
                            </w:r>
                            <w:proofErr w:type="gramEnd"/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co-located mobile IAB-DU may be served by different donor CUs.</w:t>
                            </w:r>
                          </w:p>
                          <w:p w14:paraId="11763AFD" w14:textId="77777777" w:rsidR="00FA5EEC" w:rsidRPr="00307733" w:rsidRDefault="00FA5EEC" w:rsidP="0030773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360"/>
                              <w:contextualSpacing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The mobile IAB donor that the co-located IAB-DU connects to may remain unchanged after the IAB-MT HO. </w:t>
                            </w:r>
                          </w:p>
                          <w:p w14:paraId="7FC1AFFB" w14:textId="77777777" w:rsidR="00FA5EEC" w:rsidRPr="00307733" w:rsidRDefault="00FA5EEC" w:rsidP="0030773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360"/>
                              <w:contextualSpacing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>(1-3) RAN3 to discuss whether a mobile IAB-DU can execute inter-donor migration, while the co-located mobile IAB-MT stays connected to the same donor before and after the mobile IAB-DU migration.</w:t>
                            </w:r>
                          </w:p>
                          <w:p w14:paraId="4489399A" w14:textId="77777777" w:rsidR="00FA5EEC" w:rsidRPr="00307733" w:rsidRDefault="00FA5EEC" w:rsidP="0030773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360"/>
                              <w:contextualSpacing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>RAN3 to discuss whether a mobile IAB-DU can execute inter-donor migration, while the co-located mobile IAB-MT executes inter-donor migration.</w:t>
                            </w:r>
                          </w:p>
                          <w:p w14:paraId="5F73A7E1" w14:textId="77777777" w:rsidR="00FA5EEC" w:rsidRPr="00307733" w:rsidRDefault="00FA5EEC" w:rsidP="0030773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360"/>
                              <w:contextualSpacing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When IP connectivity between target IAB-donor DU and source IAB-donor CU is available, and when </w:t>
                            </w:r>
                            <w:proofErr w:type="spellStart"/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>Xn</w:t>
                            </w:r>
                            <w:proofErr w:type="spellEnd"/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connectivity between source and target donor CU is available, the Rel-17 partial migration is used as baseline for supporting the F1 transport migration and inter-donor routing when </w:t>
                            </w:r>
                            <w:proofErr w:type="gramStart"/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>an</w:t>
                            </w:r>
                            <w:proofErr w:type="gramEnd"/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mobile IAB-DU and its co-located mobile IAB-MT are connected to different donor CUs.</w:t>
                            </w:r>
                          </w:p>
                          <w:p w14:paraId="72FC41E5" w14:textId="77777777" w:rsidR="00FA5EEC" w:rsidRPr="00307733" w:rsidRDefault="00FA5EEC" w:rsidP="0030773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360"/>
                              <w:contextualSpacing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The mobile IAB-node may perform multiple consecutive partial migrations without inter-donor migration of its mobile IAB-DU. </w:t>
                            </w:r>
                          </w:p>
                          <w:p w14:paraId="5278E241" w14:textId="77777777" w:rsidR="00FA5EEC" w:rsidRPr="00307733" w:rsidRDefault="00FA5EEC" w:rsidP="0030773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360"/>
                              <w:contextualSpacing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RAN3 to discuss how inter-donor topology adaptation can be supported for mobile IAB in absence of </w:t>
                            </w:r>
                            <w:proofErr w:type="spellStart"/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>Xn</w:t>
                            </w:r>
                            <w:proofErr w:type="spellEnd"/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and/or inter-donor IP </w:t>
                            </w:r>
                            <w:proofErr w:type="spellStart"/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>routability</w:t>
                            </w:r>
                            <w:proofErr w:type="spellEnd"/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028CBF65" w14:textId="77777777" w:rsidR="00FA5EEC" w:rsidRPr="00307733" w:rsidRDefault="00FA5EEC" w:rsidP="0030773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360"/>
                              <w:contextualSpacing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>Mobility of dual-connected mobile IAB nodes is down prioritized in Rel18.</w:t>
                            </w:r>
                          </w:p>
                          <w:p w14:paraId="6C9728C1" w14:textId="77777777" w:rsidR="00FA5EEC" w:rsidRPr="00307733" w:rsidRDefault="00FA5EEC" w:rsidP="0030773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360"/>
                              <w:contextualSpacing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>Rel17 mechanisms support intra donor CU migration of mobile IAB.</w:t>
                            </w:r>
                            <w:r w:rsidRPr="00307733">
                              <w:rPr>
                                <w:rFonts w:ascii="Calibri" w:hAnsi="Calibri" w:cs="Calibri"/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E03749D" w14:textId="77777777" w:rsidR="00FA5EEC" w:rsidRPr="00307733" w:rsidRDefault="00FA5EEC" w:rsidP="0030773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360"/>
                              <w:contextualSpacing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307733">
                              <w:rPr>
                                <w:rFonts w:ascii="Calibri" w:hAnsi="Calibri" w:cs="Calibri"/>
                                <w:b/>
                                <w:iCs/>
                                <w:color w:val="008000"/>
                                <w:sz w:val="18"/>
                                <w:szCs w:val="18"/>
                              </w:rPr>
                              <w:t>For DU migration cases</w:t>
                            </w:r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>, to execute the handover of the served UEs, the mobile IAB-node concurrently supports two logical mobile IAB-DUs, which have F1AP associations with the source CU and the target CU, respectively.</w:t>
                            </w:r>
                          </w:p>
                          <w:p w14:paraId="659DAF95" w14:textId="77777777" w:rsidR="00FA5EEC" w:rsidRPr="00307733" w:rsidRDefault="00FA5EEC" w:rsidP="0030773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360"/>
                              <w:contextualSpacing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>The UEs connected to the mobile IAB-node are handed over from the cell of the logical mobile IAB-DU (i.e., the source logical mobile IAB-DU) that has an F1AP association with the source CU to the cell of the logical mobile IAB-DU (i.e., the target logical mobile IAB-DU) that has an F1AP association with the target CU.</w:t>
                            </w:r>
                          </w:p>
                          <w:p w14:paraId="73E478A1" w14:textId="4494AB7B" w:rsidR="005361A0" w:rsidRPr="006F70C2" w:rsidRDefault="00FA5EEC" w:rsidP="006F70C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360"/>
                              <w:contextualSpacing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307733"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  <w:t>RAN3 to discuss whether a mobile IAB node may be configured with multiple configurations, each corresponding to a different target donor, that can be activated upon fulfillment of certain condition(s). The details of the configurations are FFS.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03F3E7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-2pt;margin-top:26.25pt;width:467.3pt;height:28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" fillcolor="white [3201]" strokeweight=".5pt">
                <v:textbox>
                  <w:txbxContent>
                    <w:p w14:paraId="3E6706A2" w14:textId="77777777" w:rsidR="00FA5EEC" w:rsidRPr="00307733" w:rsidRDefault="00FA5EEC" w:rsidP="0030773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360"/>
                        <w:contextualSpacing/>
                        <w:textAlignment w:val="baseline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</w:pPr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 xml:space="preserve">As already supported in Rel17, a mobile IAB-MT and </w:t>
                      </w:r>
                      <w:proofErr w:type="gramStart"/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>its</w:t>
                      </w:r>
                      <w:proofErr w:type="gramEnd"/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 xml:space="preserve"> co-located mobile IAB-DU may be served by different donor CUs.</w:t>
                      </w:r>
                    </w:p>
                    <w:p w14:paraId="11763AFD" w14:textId="77777777" w:rsidR="00FA5EEC" w:rsidRPr="00307733" w:rsidRDefault="00FA5EEC" w:rsidP="0030773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360"/>
                        <w:contextualSpacing/>
                        <w:textAlignment w:val="baseline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</w:pPr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 xml:space="preserve">The mobile IAB donor that the co-located IAB-DU connects to may remain unchanged after the IAB-MT HO. </w:t>
                      </w:r>
                    </w:p>
                    <w:p w14:paraId="7FC1AFFB" w14:textId="77777777" w:rsidR="00FA5EEC" w:rsidRPr="00307733" w:rsidRDefault="00FA5EEC" w:rsidP="0030773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360"/>
                        <w:contextualSpacing/>
                        <w:textAlignment w:val="baseline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</w:pPr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>(1-3) RAN3 to discuss whether a mobile IAB-DU can execute inter-donor migration, while the co-located mobile IAB-MT stays connected to the same donor before and after the mobile IAB-DU migration.</w:t>
                      </w:r>
                    </w:p>
                    <w:p w14:paraId="4489399A" w14:textId="77777777" w:rsidR="00FA5EEC" w:rsidRPr="00307733" w:rsidRDefault="00FA5EEC" w:rsidP="0030773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360"/>
                        <w:contextualSpacing/>
                        <w:textAlignment w:val="baseline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</w:pPr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>RAN3 to discuss whether a mobile IAB-DU can execute inter-donor migration, while the co-located mobile IAB-MT executes inter-donor migration.</w:t>
                      </w:r>
                    </w:p>
                    <w:p w14:paraId="5F73A7E1" w14:textId="77777777" w:rsidR="00FA5EEC" w:rsidRPr="00307733" w:rsidRDefault="00FA5EEC" w:rsidP="0030773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360"/>
                        <w:contextualSpacing/>
                        <w:textAlignment w:val="baseline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</w:pPr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 xml:space="preserve">When IP connectivity between target IAB-donor DU and source IAB-donor CU is available, and when </w:t>
                      </w:r>
                      <w:proofErr w:type="spellStart"/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>Xn</w:t>
                      </w:r>
                      <w:proofErr w:type="spellEnd"/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 xml:space="preserve"> connectivity between source and target donor CU is available, the Rel-17 partial migration is used as baseline for supporting the F1 transport migration and inter-donor routing when </w:t>
                      </w:r>
                      <w:proofErr w:type="gramStart"/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>an</w:t>
                      </w:r>
                      <w:proofErr w:type="gramEnd"/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 xml:space="preserve"> mobile IAB-DU and its co-located mobile IAB-MT are connected to different donor CUs.</w:t>
                      </w:r>
                    </w:p>
                    <w:p w14:paraId="72FC41E5" w14:textId="77777777" w:rsidR="00FA5EEC" w:rsidRPr="00307733" w:rsidRDefault="00FA5EEC" w:rsidP="0030773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360"/>
                        <w:contextualSpacing/>
                        <w:textAlignment w:val="baseline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</w:pPr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 xml:space="preserve">The mobile IAB-node may perform multiple consecutive partial migrations without inter-donor migration of its mobile IAB-DU. </w:t>
                      </w:r>
                    </w:p>
                    <w:p w14:paraId="5278E241" w14:textId="77777777" w:rsidR="00FA5EEC" w:rsidRPr="00307733" w:rsidRDefault="00FA5EEC" w:rsidP="0030773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360"/>
                        <w:contextualSpacing/>
                        <w:textAlignment w:val="baseline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</w:pPr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 xml:space="preserve">RAN3 to discuss how inter-donor topology adaptation can be supported for mobile IAB in absence of </w:t>
                      </w:r>
                      <w:proofErr w:type="spellStart"/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>Xn</w:t>
                      </w:r>
                      <w:proofErr w:type="spellEnd"/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 xml:space="preserve"> and/or inter-donor IP </w:t>
                      </w:r>
                      <w:proofErr w:type="spellStart"/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>routability</w:t>
                      </w:r>
                      <w:proofErr w:type="spellEnd"/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>.</w:t>
                      </w:r>
                    </w:p>
                    <w:p w14:paraId="028CBF65" w14:textId="77777777" w:rsidR="00FA5EEC" w:rsidRPr="00307733" w:rsidRDefault="00FA5EEC" w:rsidP="0030773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360"/>
                        <w:contextualSpacing/>
                        <w:textAlignment w:val="baseline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</w:pPr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>Mobility of dual-connected mobile IAB nodes is down prioritized in Rel18.</w:t>
                      </w:r>
                    </w:p>
                    <w:p w14:paraId="6C9728C1" w14:textId="77777777" w:rsidR="00FA5EEC" w:rsidRPr="00307733" w:rsidRDefault="00FA5EEC" w:rsidP="0030773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360"/>
                        <w:contextualSpacing/>
                        <w:textAlignment w:val="baseline"/>
                        <w:rPr>
                          <w:rFonts w:ascii="Calibri" w:hAnsi="Calibri" w:cs="Calibri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>Rel17 mechanisms support intra donor CU migration of mobile IAB.</w:t>
                      </w:r>
                      <w:r w:rsidRPr="00307733">
                        <w:rPr>
                          <w:rFonts w:ascii="Calibri" w:hAnsi="Calibri" w:cs="Calibri"/>
                          <w:b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E03749D" w14:textId="77777777" w:rsidR="00FA5EEC" w:rsidRPr="00307733" w:rsidRDefault="00FA5EEC" w:rsidP="0030773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360"/>
                        <w:contextualSpacing/>
                        <w:textAlignment w:val="baseline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</w:pPr>
                      <w:r w:rsidRPr="00307733">
                        <w:rPr>
                          <w:rFonts w:ascii="Calibri" w:hAnsi="Calibri" w:cs="Calibri"/>
                          <w:b/>
                          <w:iCs/>
                          <w:color w:val="008000"/>
                          <w:sz w:val="18"/>
                          <w:szCs w:val="18"/>
                        </w:rPr>
                        <w:t>For DU migration cases</w:t>
                      </w:r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>, to execute the handover of the served UEs, the mobile IAB-node concurrently supports two logical mobile IAB-DUs, which have F1AP associations with the source CU and the target CU, respectively.</w:t>
                      </w:r>
                    </w:p>
                    <w:p w14:paraId="659DAF95" w14:textId="77777777" w:rsidR="00FA5EEC" w:rsidRPr="00307733" w:rsidRDefault="00FA5EEC" w:rsidP="0030773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360"/>
                        <w:contextualSpacing/>
                        <w:textAlignment w:val="baseline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</w:pPr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>The UEs connected to the mobile IAB-node are handed over from the cell of the logical mobile IAB-DU (i.e., the source logical mobile IAB-DU) that has an F1AP association with the source CU to the cell of the logical mobile IAB-DU (i.e., the target logical mobile IAB-DU) that has an F1AP association with the target CU.</w:t>
                      </w:r>
                    </w:p>
                    <w:p w14:paraId="73E478A1" w14:textId="4494AB7B" w:rsidR="005361A0" w:rsidRPr="006F70C2" w:rsidRDefault="00FA5EEC" w:rsidP="006F70C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360"/>
                        <w:contextualSpacing/>
                        <w:textAlignment w:val="baseline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</w:pPr>
                      <w:r w:rsidRPr="00307733"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  <w:t>RAN3 to discuss whether a mobile IAB node may be configured with multiple configurations, each corresponding to a different target donor, that can be activated upon fulfillment of certain condition(s). The details of the configurations are FFS.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0147B">
        <w:t xml:space="preserve">In this contribution, we’d like to discuss the </w:t>
      </w:r>
      <w:r w:rsidR="00307733">
        <w:t>support of the IAB-node mobility based on the following agreement in the last RAN3 meeting.</w:t>
      </w:r>
    </w:p>
    <w:p w14:paraId="1350E9C0" w14:textId="4444DE36" w:rsidR="00B6745D" w:rsidRDefault="00800860" w:rsidP="00CD4C7B">
      <w:r>
        <w:t xml:space="preserve">For topology adaptation in absence of </w:t>
      </w:r>
      <w:proofErr w:type="spellStart"/>
      <w:r>
        <w:t>Xn</w:t>
      </w:r>
      <w:proofErr w:type="spellEnd"/>
      <w:r>
        <w:t xml:space="preserve">, we prefer to discuss it when the general procedure of full migration is clear and SA2 have a significant progress. </w:t>
      </w:r>
    </w:p>
    <w:p w14:paraId="021F998B" w14:textId="40D78A67" w:rsidR="00800860" w:rsidRDefault="00755770" w:rsidP="00CD4C7B">
      <w:r>
        <w:t>In</w:t>
      </w:r>
      <w:r w:rsidR="00800860">
        <w:t xml:space="preserve"> this contribution, the following aspects are discussed.</w:t>
      </w:r>
    </w:p>
    <w:p w14:paraId="3A07BB18" w14:textId="74904DDF" w:rsidR="00800860" w:rsidRDefault="00800860" w:rsidP="00CD4C7B">
      <w:r>
        <w:t xml:space="preserve">- </w:t>
      </w:r>
      <w:r w:rsidR="00307733">
        <w:t>Scenario and architecture</w:t>
      </w:r>
    </w:p>
    <w:p w14:paraId="5F085886" w14:textId="4A8B2FFC" w:rsidR="006F70C2" w:rsidRDefault="006F70C2" w:rsidP="00CD4C7B">
      <w:r>
        <w:t>- General procedure of full migration</w:t>
      </w:r>
    </w:p>
    <w:p w14:paraId="677B4DFE" w14:textId="0BB5C91E" w:rsidR="00307733" w:rsidRPr="00B6745D" w:rsidRDefault="00800860" w:rsidP="00CD4C7B">
      <w:r>
        <w:t xml:space="preserve">- </w:t>
      </w:r>
      <w:r w:rsidR="00C85FFB">
        <w:t>I</w:t>
      </w:r>
      <w:r w:rsidR="00307733">
        <w:t>ssues of migration procedure</w:t>
      </w:r>
    </w:p>
    <w:p w14:paraId="479DA40B" w14:textId="77777777" w:rsidR="00CD4C7B" w:rsidRPr="006E13D1" w:rsidRDefault="00CD4C7B" w:rsidP="00CD4C7B">
      <w:pPr>
        <w:pStyle w:val="1"/>
      </w:pPr>
      <w:r w:rsidRPr="006E13D1">
        <w:t>2</w:t>
      </w:r>
      <w:r w:rsidRPr="006E13D1">
        <w:tab/>
      </w:r>
      <w:r w:rsidR="00972FD7">
        <w:t>Discussion</w:t>
      </w:r>
    </w:p>
    <w:p w14:paraId="42DFD04E" w14:textId="0C7F099E" w:rsidR="00FA5EEC" w:rsidRPr="00386801" w:rsidRDefault="005F1BD4" w:rsidP="00386801">
      <w:pPr>
        <w:pStyle w:val="2"/>
      </w:pPr>
      <w:bookmarkStart w:id="2" w:name="_Hlk109747344"/>
      <w:r>
        <w:t>2.1</w:t>
      </w:r>
      <w:r>
        <w:tab/>
      </w:r>
      <w:r w:rsidR="00FA5EEC">
        <w:t>Scenario and architecture</w:t>
      </w:r>
    </w:p>
    <w:p w14:paraId="12A7623B" w14:textId="2B28433A" w:rsidR="00FA5EEC" w:rsidRDefault="007E1F12" w:rsidP="004E6C01">
      <w:pPr>
        <w:rPr>
          <w:szCs w:val="21"/>
        </w:rPr>
      </w:pPr>
      <w:r>
        <w:rPr>
          <w:szCs w:val="21"/>
        </w:rPr>
        <w:t xml:space="preserve">In </w:t>
      </w:r>
      <w:r w:rsidR="00FA5EEC">
        <w:rPr>
          <w:szCs w:val="21"/>
        </w:rPr>
        <w:t>RAN3 117e meeting, the following scenarios had been discussed</w:t>
      </w:r>
      <w:r w:rsidR="00D862C5">
        <w:rPr>
          <w:szCs w:val="21"/>
        </w:rPr>
        <w:t>.</w:t>
      </w:r>
    </w:p>
    <w:p w14:paraId="2E31F51B" w14:textId="77777777" w:rsidR="00D862C5" w:rsidRPr="00307733" w:rsidRDefault="00D862C5" w:rsidP="00307733">
      <w:pPr>
        <w:overflowPunct w:val="0"/>
        <w:autoSpaceDE w:val="0"/>
        <w:autoSpaceDN w:val="0"/>
        <w:adjustRightInd w:val="0"/>
        <w:spacing w:before="100" w:beforeAutospacing="1"/>
        <w:ind w:left="360"/>
        <w:contextualSpacing/>
        <w:textAlignment w:val="baseline"/>
        <w:rPr>
          <w:rFonts w:ascii="Calibri" w:hAnsi="Calibri" w:cs="Calibri"/>
          <w:b/>
          <w:color w:val="008000"/>
          <w:sz w:val="18"/>
          <w:szCs w:val="18"/>
        </w:rPr>
      </w:pPr>
      <w:r w:rsidRPr="00307733">
        <w:rPr>
          <w:rFonts w:ascii="Calibri" w:hAnsi="Calibri" w:cs="Calibri"/>
          <w:b/>
          <w:color w:val="008000"/>
          <w:sz w:val="18"/>
          <w:szCs w:val="18"/>
        </w:rPr>
        <w:lastRenderedPageBreak/>
        <w:t xml:space="preserve">The mobile IAB donor that the co-located IAB-DU connects to may remain unchanged after the IAB-MT HO. </w:t>
      </w:r>
    </w:p>
    <w:p w14:paraId="438709BE" w14:textId="44BF90A2" w:rsidR="00FA5EEC" w:rsidRPr="00307733" w:rsidRDefault="00FA5EEC" w:rsidP="00307733">
      <w:pPr>
        <w:overflowPunct w:val="0"/>
        <w:autoSpaceDE w:val="0"/>
        <w:autoSpaceDN w:val="0"/>
        <w:adjustRightInd w:val="0"/>
        <w:spacing w:before="100" w:beforeAutospacing="1"/>
        <w:ind w:left="360"/>
        <w:contextualSpacing/>
        <w:textAlignment w:val="baseline"/>
        <w:rPr>
          <w:rFonts w:ascii="Calibri" w:hAnsi="Calibri" w:cs="Calibri"/>
          <w:b/>
          <w:color w:val="008000"/>
          <w:sz w:val="18"/>
          <w:szCs w:val="18"/>
        </w:rPr>
      </w:pPr>
      <w:r w:rsidRPr="00307733">
        <w:rPr>
          <w:rFonts w:ascii="Calibri" w:hAnsi="Calibri" w:cs="Calibri"/>
          <w:b/>
          <w:color w:val="008000"/>
          <w:sz w:val="18"/>
          <w:szCs w:val="18"/>
        </w:rPr>
        <w:t>RAN3 to discuss whether a mobile IAB-DU can execute inter-donor migration, while the co-located mobile IAB-MT stays connected to the same donor before and after the mobile IAB-DU migration.</w:t>
      </w:r>
    </w:p>
    <w:p w14:paraId="2E8D93BE" w14:textId="77777777" w:rsidR="00FA5EEC" w:rsidRPr="00307733" w:rsidRDefault="00FA5EEC" w:rsidP="00307733">
      <w:pPr>
        <w:overflowPunct w:val="0"/>
        <w:autoSpaceDE w:val="0"/>
        <w:autoSpaceDN w:val="0"/>
        <w:adjustRightInd w:val="0"/>
        <w:spacing w:before="100" w:beforeAutospacing="1"/>
        <w:ind w:left="360"/>
        <w:contextualSpacing/>
        <w:textAlignment w:val="baseline"/>
        <w:rPr>
          <w:rFonts w:ascii="Calibri" w:hAnsi="Calibri" w:cs="Calibri"/>
          <w:b/>
          <w:color w:val="008000"/>
          <w:sz w:val="18"/>
          <w:szCs w:val="18"/>
        </w:rPr>
      </w:pPr>
      <w:r w:rsidRPr="00307733">
        <w:rPr>
          <w:rFonts w:ascii="Calibri" w:hAnsi="Calibri" w:cs="Calibri"/>
          <w:b/>
          <w:color w:val="008000"/>
          <w:sz w:val="18"/>
          <w:szCs w:val="18"/>
        </w:rPr>
        <w:t>RAN3 to discuss whether a mobile IAB-DU can execute inter-donor migration, while the co-located mobile IAB-MT executes inter-donor migration.</w:t>
      </w:r>
    </w:p>
    <w:p w14:paraId="39B885AD" w14:textId="4A80D30B" w:rsidR="00D862C5" w:rsidRDefault="00D862C5" w:rsidP="004E6C01">
      <w:pPr>
        <w:rPr>
          <w:szCs w:val="21"/>
        </w:rPr>
      </w:pPr>
      <w:r>
        <w:rPr>
          <w:szCs w:val="21"/>
        </w:rPr>
        <w:t>In short, we can name them as below:</w:t>
      </w:r>
    </w:p>
    <w:p w14:paraId="5517A2C2" w14:textId="20797141" w:rsidR="00D862C5" w:rsidRPr="00D862C5" w:rsidRDefault="00D862C5" w:rsidP="00D862C5">
      <w:pPr>
        <w:pStyle w:val="a9"/>
        <w:numPr>
          <w:ilvl w:val="0"/>
          <w:numId w:val="15"/>
        </w:numPr>
        <w:spacing w:line="360" w:lineRule="auto"/>
        <w:ind w:leftChars="0" w:left="714" w:hanging="357"/>
        <w:rPr>
          <w:rFonts w:ascii="Times New Roman" w:hAnsi="Times New Roman"/>
          <w:sz w:val="20"/>
          <w:szCs w:val="21"/>
        </w:rPr>
      </w:pPr>
      <w:r w:rsidRPr="00D862C5">
        <w:rPr>
          <w:rFonts w:ascii="Times New Roman" w:hAnsi="Times New Roman"/>
          <w:sz w:val="20"/>
          <w:szCs w:val="21"/>
        </w:rPr>
        <w:t>Scenario 1, mobile IAB-MT only migration, i.e. partial migration (supported in R17)</w:t>
      </w:r>
    </w:p>
    <w:p w14:paraId="303C5EFC" w14:textId="4E061FC1" w:rsidR="00D862C5" w:rsidRPr="00D862C5" w:rsidRDefault="00D862C5" w:rsidP="00D862C5">
      <w:pPr>
        <w:pStyle w:val="a9"/>
        <w:numPr>
          <w:ilvl w:val="0"/>
          <w:numId w:val="15"/>
        </w:numPr>
        <w:spacing w:line="360" w:lineRule="auto"/>
        <w:ind w:leftChars="0" w:left="714" w:hanging="357"/>
        <w:rPr>
          <w:rFonts w:ascii="Times New Roman" w:hAnsi="Times New Roman"/>
          <w:sz w:val="20"/>
          <w:szCs w:val="21"/>
        </w:rPr>
      </w:pPr>
      <w:r w:rsidRPr="00D862C5">
        <w:rPr>
          <w:rFonts w:ascii="Times New Roman" w:hAnsi="Times New Roman"/>
          <w:sz w:val="20"/>
          <w:szCs w:val="21"/>
        </w:rPr>
        <w:t xml:space="preserve">Scenario 2, mobile IAB-DU only migration </w:t>
      </w:r>
    </w:p>
    <w:p w14:paraId="1186ADEA" w14:textId="2A00CC78" w:rsidR="00D862C5" w:rsidRPr="00D862C5" w:rsidRDefault="00D862C5" w:rsidP="00D862C5">
      <w:pPr>
        <w:pStyle w:val="a9"/>
        <w:numPr>
          <w:ilvl w:val="0"/>
          <w:numId w:val="15"/>
        </w:numPr>
        <w:spacing w:line="360" w:lineRule="auto"/>
        <w:ind w:leftChars="0" w:left="714" w:hanging="357"/>
        <w:rPr>
          <w:rFonts w:ascii="Times New Roman" w:hAnsi="Times New Roman"/>
          <w:sz w:val="20"/>
          <w:szCs w:val="21"/>
        </w:rPr>
      </w:pPr>
      <w:r w:rsidRPr="00D862C5">
        <w:rPr>
          <w:rFonts w:ascii="Times New Roman" w:hAnsi="Times New Roman"/>
          <w:sz w:val="20"/>
          <w:szCs w:val="21"/>
        </w:rPr>
        <w:t xml:space="preserve">Scenario 3, mobile IAB-MT and IAB-DU migration, i.e. full migration </w:t>
      </w:r>
    </w:p>
    <w:p w14:paraId="340915E1" w14:textId="77777777" w:rsidR="00D862C5" w:rsidRDefault="00D862C5" w:rsidP="004E6C01">
      <w:pPr>
        <w:rPr>
          <w:szCs w:val="21"/>
        </w:rPr>
      </w:pPr>
      <w:r>
        <w:rPr>
          <w:szCs w:val="21"/>
        </w:rPr>
        <w:t xml:space="preserve">Scenario 1 is agreed and already supported in R17. While scenario 2 and 3 need more discussion. </w:t>
      </w:r>
    </w:p>
    <w:p w14:paraId="070B6E5A" w14:textId="19EC0E94" w:rsidR="00EF2DFA" w:rsidRDefault="00D862C5" w:rsidP="004E6C01">
      <w:pPr>
        <w:rPr>
          <w:szCs w:val="21"/>
        </w:rPr>
      </w:pPr>
      <w:r>
        <w:rPr>
          <w:szCs w:val="21"/>
        </w:rPr>
        <w:t>In our understanding, th</w:t>
      </w:r>
      <w:r w:rsidR="00FA5EEC">
        <w:rPr>
          <w:szCs w:val="21"/>
        </w:rPr>
        <w:t xml:space="preserve">e intension of the scenario </w:t>
      </w:r>
      <w:r>
        <w:rPr>
          <w:szCs w:val="21"/>
        </w:rPr>
        <w:t>2</w:t>
      </w:r>
      <w:r w:rsidR="00FA5EEC">
        <w:rPr>
          <w:szCs w:val="21"/>
        </w:rPr>
        <w:t xml:space="preserve"> is based on the new architecture of introducing a new entity like master IAB-donor or anchor IAB-donor, we don’t see the clear benefits and solutions of this</w:t>
      </w:r>
      <w:r w:rsidR="00FA5EEC" w:rsidRPr="00FA5EEC">
        <w:rPr>
          <w:szCs w:val="21"/>
        </w:rPr>
        <w:t xml:space="preserve"> </w:t>
      </w:r>
      <w:r w:rsidR="00FA5EEC">
        <w:rPr>
          <w:szCs w:val="21"/>
        </w:rPr>
        <w:t xml:space="preserve">new architecture. If the reason of this new architecture is to avoid frequent DU migration, we think it can be solved by network planning, e.g. the IAB-donor can be </w:t>
      </w:r>
      <w:r w:rsidR="00386801">
        <w:rPr>
          <w:szCs w:val="21"/>
        </w:rPr>
        <w:t xml:space="preserve">a </w:t>
      </w:r>
      <w:r w:rsidR="00FA5EEC">
        <w:rPr>
          <w:szCs w:val="21"/>
        </w:rPr>
        <w:t xml:space="preserve">Macro </w:t>
      </w:r>
      <w:proofErr w:type="spellStart"/>
      <w:r w:rsidR="00FA5EEC">
        <w:rPr>
          <w:szCs w:val="21"/>
        </w:rPr>
        <w:t>gNB</w:t>
      </w:r>
      <w:proofErr w:type="spellEnd"/>
      <w:r w:rsidR="00FA5EEC">
        <w:rPr>
          <w:szCs w:val="21"/>
        </w:rPr>
        <w:t xml:space="preserve"> with large coverage and </w:t>
      </w:r>
      <w:r w:rsidR="00386801">
        <w:rPr>
          <w:szCs w:val="21"/>
        </w:rPr>
        <w:t xml:space="preserve">capacity, or it can be solved by performing partial migration </w:t>
      </w:r>
      <w:r>
        <w:rPr>
          <w:szCs w:val="21"/>
        </w:rPr>
        <w:t>already supported in R17</w:t>
      </w:r>
      <w:r w:rsidR="00386801">
        <w:rPr>
          <w:szCs w:val="21"/>
        </w:rPr>
        <w:t>.</w:t>
      </w:r>
    </w:p>
    <w:p w14:paraId="547B0820" w14:textId="39C3C8E1" w:rsidR="00FA5EEC" w:rsidRDefault="00D862C5" w:rsidP="004E6C01">
      <w:pPr>
        <w:rPr>
          <w:szCs w:val="21"/>
        </w:rPr>
      </w:pPr>
      <w:r>
        <w:rPr>
          <w:szCs w:val="21"/>
        </w:rPr>
        <w:t>Besides,</w:t>
      </w:r>
      <w:r w:rsidR="00FA5EEC">
        <w:rPr>
          <w:szCs w:val="21"/>
        </w:rPr>
        <w:t xml:space="preserve"> we think it’s too complex to introduce new function entity in current IAB architecture</w:t>
      </w:r>
      <w:r w:rsidR="00386801">
        <w:rPr>
          <w:szCs w:val="21"/>
        </w:rPr>
        <w:t>, which may bring more spec impact and we don’t have enough time to discuss and support this scenario, anyhow, even th</w:t>
      </w:r>
      <w:r>
        <w:rPr>
          <w:szCs w:val="21"/>
        </w:rPr>
        <w:t>e master IAB-donor or</w:t>
      </w:r>
      <w:r w:rsidR="00386801">
        <w:rPr>
          <w:szCs w:val="21"/>
        </w:rPr>
        <w:t xml:space="preserve"> anchor IAB-donor is introduced, there </w:t>
      </w:r>
      <w:r>
        <w:rPr>
          <w:szCs w:val="21"/>
        </w:rPr>
        <w:t xml:space="preserve">still </w:t>
      </w:r>
      <w:r w:rsidR="00386801">
        <w:rPr>
          <w:szCs w:val="21"/>
        </w:rPr>
        <w:t>will be the coverage edge, the full migration (i.e. scenario 2) is still the main issue we need to discuss and support in R18.</w:t>
      </w:r>
    </w:p>
    <w:p w14:paraId="2CA9E2ED" w14:textId="6494BF37" w:rsidR="00D563CF" w:rsidRPr="00D862C5" w:rsidRDefault="00386801" w:rsidP="00D862C5">
      <w:pPr>
        <w:rPr>
          <w:b/>
          <w:szCs w:val="21"/>
        </w:rPr>
      </w:pPr>
      <w:r w:rsidRPr="00D862C5">
        <w:rPr>
          <w:b/>
          <w:szCs w:val="21"/>
        </w:rPr>
        <w:t>Observation</w:t>
      </w:r>
      <w:r w:rsidR="006F70C2">
        <w:rPr>
          <w:b/>
          <w:szCs w:val="21"/>
        </w:rPr>
        <w:t xml:space="preserve"> 1</w:t>
      </w:r>
      <w:r w:rsidRPr="00D862C5">
        <w:rPr>
          <w:b/>
          <w:szCs w:val="21"/>
        </w:rPr>
        <w:t xml:space="preserve">, </w:t>
      </w:r>
      <w:r w:rsidR="00D563CF" w:rsidRPr="00D862C5">
        <w:rPr>
          <w:b/>
          <w:szCs w:val="21"/>
        </w:rPr>
        <w:t xml:space="preserve">the scenario of mobile IAB-DU </w:t>
      </w:r>
      <w:r w:rsidR="00D862C5" w:rsidRPr="00D862C5">
        <w:rPr>
          <w:b/>
          <w:szCs w:val="21"/>
        </w:rPr>
        <w:t xml:space="preserve">only </w:t>
      </w:r>
      <w:r w:rsidR="00D563CF" w:rsidRPr="00D862C5">
        <w:rPr>
          <w:b/>
          <w:szCs w:val="21"/>
        </w:rPr>
        <w:t>migration is based on the new architecture of introducing a new entity like master IAB-donor or anchor IAB-donor</w:t>
      </w:r>
      <w:r w:rsidR="00D862C5" w:rsidRPr="00D862C5">
        <w:rPr>
          <w:b/>
          <w:szCs w:val="21"/>
        </w:rPr>
        <w:t>, t</w:t>
      </w:r>
      <w:r w:rsidR="00D563CF" w:rsidRPr="00D862C5">
        <w:rPr>
          <w:b/>
          <w:szCs w:val="21"/>
        </w:rPr>
        <w:t>he need of this new architecture is not clear and necessary, which may bring more spec impact.</w:t>
      </w:r>
    </w:p>
    <w:p w14:paraId="15F0882A" w14:textId="6250EAD1" w:rsidR="00D563CF" w:rsidRPr="00D862C5" w:rsidRDefault="00D563CF" w:rsidP="004E6C01">
      <w:pPr>
        <w:rPr>
          <w:b/>
          <w:szCs w:val="21"/>
        </w:rPr>
      </w:pPr>
      <w:r w:rsidRPr="00D862C5">
        <w:rPr>
          <w:b/>
          <w:szCs w:val="21"/>
        </w:rPr>
        <w:t>Observation</w:t>
      </w:r>
      <w:r w:rsidR="006F70C2">
        <w:rPr>
          <w:b/>
          <w:szCs w:val="21"/>
        </w:rPr>
        <w:t xml:space="preserve"> 2</w:t>
      </w:r>
      <w:r w:rsidRPr="00D862C5">
        <w:rPr>
          <w:b/>
          <w:szCs w:val="21"/>
        </w:rPr>
        <w:t xml:space="preserve">, </w:t>
      </w:r>
      <w:r w:rsidR="00D862C5" w:rsidRPr="00D862C5">
        <w:rPr>
          <w:b/>
          <w:szCs w:val="21"/>
        </w:rPr>
        <w:t>even in the new architecture</w:t>
      </w:r>
      <w:r w:rsidRPr="00D862C5">
        <w:rPr>
          <w:b/>
          <w:szCs w:val="21"/>
        </w:rPr>
        <w:t>, full migration is necessary and must be supported in R18.</w:t>
      </w:r>
    </w:p>
    <w:p w14:paraId="525457A4" w14:textId="509F31DE" w:rsidR="00D563CF" w:rsidRPr="00D862C5" w:rsidRDefault="00D563CF" w:rsidP="004E6C01">
      <w:pPr>
        <w:rPr>
          <w:b/>
          <w:szCs w:val="21"/>
        </w:rPr>
      </w:pPr>
      <w:r w:rsidRPr="00D862C5">
        <w:rPr>
          <w:b/>
          <w:szCs w:val="21"/>
        </w:rPr>
        <w:t>Proposal</w:t>
      </w:r>
      <w:r w:rsidR="006F70C2">
        <w:rPr>
          <w:b/>
          <w:szCs w:val="21"/>
        </w:rPr>
        <w:t xml:space="preserve"> 1</w:t>
      </w:r>
      <w:r w:rsidRPr="00D862C5">
        <w:rPr>
          <w:b/>
          <w:szCs w:val="21"/>
        </w:rPr>
        <w:t xml:space="preserve">, RAN3 agree to </w:t>
      </w:r>
      <w:r w:rsidR="00D862C5" w:rsidRPr="00D862C5">
        <w:rPr>
          <w:b/>
          <w:szCs w:val="21"/>
        </w:rPr>
        <w:t>support and focus on the scenario of</w:t>
      </w:r>
      <w:r w:rsidRPr="00D862C5">
        <w:rPr>
          <w:b/>
          <w:szCs w:val="21"/>
        </w:rPr>
        <w:t xml:space="preserve"> full migration in R18.</w:t>
      </w:r>
    </w:p>
    <w:p w14:paraId="4E53A5D6" w14:textId="34FDBD6A" w:rsidR="00D563CF" w:rsidRPr="00D862C5" w:rsidRDefault="00D563CF" w:rsidP="004E6C01">
      <w:pPr>
        <w:rPr>
          <w:b/>
          <w:szCs w:val="21"/>
          <w:lang w:val="en-US"/>
        </w:rPr>
      </w:pPr>
      <w:r w:rsidRPr="00D862C5">
        <w:rPr>
          <w:b/>
          <w:szCs w:val="21"/>
          <w:lang w:val="en-US"/>
        </w:rPr>
        <w:t>Proposal</w:t>
      </w:r>
      <w:r w:rsidR="006F70C2">
        <w:rPr>
          <w:b/>
          <w:szCs w:val="21"/>
          <w:lang w:val="en-US"/>
        </w:rPr>
        <w:t xml:space="preserve"> 2</w:t>
      </w:r>
      <w:r w:rsidRPr="00D862C5">
        <w:rPr>
          <w:b/>
          <w:szCs w:val="21"/>
          <w:lang w:val="en-US"/>
        </w:rPr>
        <w:t>, the scenario of</w:t>
      </w:r>
      <w:r w:rsidRPr="00D862C5">
        <w:rPr>
          <w:b/>
          <w:szCs w:val="21"/>
        </w:rPr>
        <w:t xml:space="preserve"> mobile IAB-DU </w:t>
      </w:r>
      <w:r w:rsidR="00D862C5" w:rsidRPr="00D862C5">
        <w:rPr>
          <w:b/>
          <w:szCs w:val="21"/>
        </w:rPr>
        <w:t xml:space="preserve">only </w:t>
      </w:r>
      <w:r w:rsidRPr="00D862C5">
        <w:rPr>
          <w:b/>
          <w:szCs w:val="21"/>
        </w:rPr>
        <w:t>migration is not supported or de-prio</w:t>
      </w:r>
      <w:r w:rsidR="00D862C5" w:rsidRPr="00D862C5">
        <w:rPr>
          <w:b/>
          <w:szCs w:val="21"/>
        </w:rPr>
        <w:t>ri</w:t>
      </w:r>
      <w:r w:rsidRPr="00D862C5">
        <w:rPr>
          <w:b/>
          <w:szCs w:val="21"/>
        </w:rPr>
        <w:t>tized in R18.</w:t>
      </w:r>
    </w:p>
    <w:p w14:paraId="2E12650C" w14:textId="27A881DF" w:rsidR="00431A24" w:rsidRPr="00386801" w:rsidRDefault="00431A24" w:rsidP="00431A24">
      <w:pPr>
        <w:pStyle w:val="2"/>
      </w:pPr>
      <w:r>
        <w:t>2.</w:t>
      </w:r>
      <w:r w:rsidR="006F70C2">
        <w:t>2</w:t>
      </w:r>
      <w:r>
        <w:tab/>
        <w:t>General procedure of full migration</w:t>
      </w:r>
    </w:p>
    <w:p w14:paraId="6A4C1193" w14:textId="37F505F7" w:rsidR="00431A24" w:rsidRPr="00431A24" w:rsidRDefault="00431A24" w:rsidP="00431A24">
      <w:pPr>
        <w:spacing w:after="120"/>
        <w:rPr>
          <w:szCs w:val="21"/>
        </w:rPr>
      </w:pPr>
      <w:r w:rsidRPr="00431A24">
        <w:rPr>
          <w:szCs w:val="21"/>
        </w:rPr>
        <w:t>Considering the mobile IAB-node may perform multiple consecutive partial migrations without inter-donor migration of its mobile IAB-DU</w:t>
      </w:r>
      <w:r>
        <w:rPr>
          <w:szCs w:val="21"/>
        </w:rPr>
        <w:t xml:space="preserve">, we think the first step of the migration should be IAB-MT migration, then the procedure will be different for full migration and partial migration. </w:t>
      </w:r>
    </w:p>
    <w:p w14:paraId="6252809E" w14:textId="77777777" w:rsidR="00431A24" w:rsidRPr="00307733" w:rsidRDefault="00431A24" w:rsidP="00431A24">
      <w:pPr>
        <w:overflowPunct w:val="0"/>
        <w:autoSpaceDE w:val="0"/>
        <w:autoSpaceDN w:val="0"/>
        <w:adjustRightInd w:val="0"/>
        <w:spacing w:before="180"/>
        <w:contextualSpacing/>
        <w:textAlignment w:val="baseline"/>
        <w:rPr>
          <w:rFonts w:ascii="Calibri" w:hAnsi="Calibri" w:cs="Calibri"/>
          <w:b/>
          <w:color w:val="008000"/>
          <w:sz w:val="18"/>
          <w:szCs w:val="18"/>
          <w:lang w:val="en-US"/>
        </w:rPr>
      </w:pPr>
    </w:p>
    <w:p w14:paraId="76A9B5ED" w14:textId="5BECE5E3" w:rsidR="00431A24" w:rsidRPr="00431A24" w:rsidRDefault="00431A24" w:rsidP="00431A24">
      <w:pPr>
        <w:spacing w:after="120"/>
        <w:rPr>
          <w:szCs w:val="21"/>
        </w:rPr>
      </w:pPr>
      <w:r>
        <w:rPr>
          <w:szCs w:val="21"/>
        </w:rPr>
        <w:t xml:space="preserve">And based on the below agreement, </w:t>
      </w:r>
    </w:p>
    <w:p w14:paraId="12BB49A4" w14:textId="24C77062" w:rsidR="00431A24" w:rsidRDefault="00431A24" w:rsidP="00431A24">
      <w:pPr>
        <w:overflowPunct w:val="0"/>
        <w:autoSpaceDE w:val="0"/>
        <w:autoSpaceDN w:val="0"/>
        <w:adjustRightInd w:val="0"/>
        <w:spacing w:before="180"/>
        <w:contextualSpacing/>
        <w:textAlignment w:val="baseline"/>
        <w:rPr>
          <w:rFonts w:ascii="Calibri" w:hAnsi="Calibri" w:cs="Calibri"/>
          <w:b/>
          <w:color w:val="008000"/>
          <w:sz w:val="18"/>
          <w:szCs w:val="18"/>
        </w:rPr>
      </w:pPr>
      <w:r w:rsidRPr="00307733">
        <w:rPr>
          <w:rFonts w:ascii="Calibri" w:hAnsi="Calibri" w:cs="Calibri"/>
          <w:b/>
          <w:iCs/>
          <w:color w:val="008000"/>
          <w:sz w:val="18"/>
          <w:szCs w:val="18"/>
        </w:rPr>
        <w:t>For DU migration cases</w:t>
      </w:r>
      <w:r w:rsidRPr="00307733">
        <w:rPr>
          <w:rFonts w:ascii="Calibri" w:hAnsi="Calibri" w:cs="Calibri"/>
          <w:b/>
          <w:color w:val="008000"/>
          <w:sz w:val="18"/>
          <w:szCs w:val="18"/>
        </w:rPr>
        <w:t>, to execute the handover of the served UEs, the mobile IAB-node concurrently supports two logical mobile IAB-DUs, which have F1AP associations with the source CU and the target CU, respectively.</w:t>
      </w:r>
    </w:p>
    <w:p w14:paraId="3604C89C" w14:textId="77777777" w:rsidR="00431A24" w:rsidRPr="00307733" w:rsidRDefault="00431A24" w:rsidP="00431A24">
      <w:pPr>
        <w:overflowPunct w:val="0"/>
        <w:autoSpaceDE w:val="0"/>
        <w:autoSpaceDN w:val="0"/>
        <w:adjustRightInd w:val="0"/>
        <w:spacing w:before="180"/>
        <w:contextualSpacing/>
        <w:textAlignment w:val="baseline"/>
        <w:rPr>
          <w:rFonts w:ascii="Calibri" w:hAnsi="Calibri" w:cs="Calibri"/>
          <w:b/>
          <w:color w:val="008000"/>
          <w:sz w:val="18"/>
          <w:szCs w:val="18"/>
        </w:rPr>
      </w:pPr>
    </w:p>
    <w:p w14:paraId="7090CCB4" w14:textId="6F34A258" w:rsidR="00431A24" w:rsidRDefault="00431A24" w:rsidP="00431A24">
      <w:pPr>
        <w:overflowPunct w:val="0"/>
        <w:autoSpaceDE w:val="0"/>
        <w:autoSpaceDN w:val="0"/>
        <w:adjustRightInd w:val="0"/>
        <w:spacing w:before="180"/>
        <w:contextualSpacing/>
        <w:textAlignment w:val="baseline"/>
        <w:rPr>
          <w:rFonts w:ascii="Calibri" w:hAnsi="Calibri" w:cs="Calibri"/>
          <w:b/>
          <w:color w:val="008000"/>
          <w:sz w:val="18"/>
          <w:szCs w:val="18"/>
        </w:rPr>
      </w:pPr>
      <w:r w:rsidRPr="00307733">
        <w:rPr>
          <w:rFonts w:ascii="Calibri" w:hAnsi="Calibri" w:cs="Calibri"/>
          <w:b/>
          <w:color w:val="008000"/>
          <w:sz w:val="18"/>
          <w:szCs w:val="18"/>
        </w:rPr>
        <w:t>The UEs connected to the mobile IAB-node are handed over from the cell of the logical mobile IAB-DU (i.e., the source logical mobile IAB-DU) that has an F1AP association with the source CU to the cell of the logical mobile IAB-DU (i.e., the target logical mobile IAB-DU) that has an F1AP association with the target CU.</w:t>
      </w:r>
    </w:p>
    <w:p w14:paraId="5144E9F3" w14:textId="77777777" w:rsidR="00431A24" w:rsidRDefault="00431A24" w:rsidP="00431A24">
      <w:pPr>
        <w:overflowPunct w:val="0"/>
        <w:autoSpaceDE w:val="0"/>
        <w:autoSpaceDN w:val="0"/>
        <w:adjustRightInd w:val="0"/>
        <w:spacing w:before="180"/>
        <w:contextualSpacing/>
        <w:textAlignment w:val="baseline"/>
        <w:rPr>
          <w:rFonts w:ascii="Calibri" w:hAnsi="Calibri" w:cs="Calibri"/>
          <w:b/>
          <w:color w:val="008000"/>
          <w:sz w:val="18"/>
          <w:szCs w:val="18"/>
        </w:rPr>
      </w:pPr>
    </w:p>
    <w:p w14:paraId="5D5D726B" w14:textId="1C8EBC2E" w:rsidR="00431A24" w:rsidRDefault="00431A24" w:rsidP="00431A24">
      <w:pPr>
        <w:overflowPunct w:val="0"/>
        <w:autoSpaceDE w:val="0"/>
        <w:autoSpaceDN w:val="0"/>
        <w:adjustRightInd w:val="0"/>
        <w:spacing w:before="180"/>
        <w:contextualSpacing/>
        <w:textAlignment w:val="baseline"/>
        <w:rPr>
          <w:szCs w:val="21"/>
        </w:rPr>
      </w:pPr>
      <w:r>
        <w:rPr>
          <w:szCs w:val="21"/>
        </w:rPr>
        <w:t>we think the general procedure of full migration can be as follows:</w:t>
      </w:r>
    </w:p>
    <w:p w14:paraId="2AD602C2" w14:textId="77777777" w:rsidR="00431A24" w:rsidRDefault="00431A24" w:rsidP="00431A24">
      <w:pPr>
        <w:overflowPunct w:val="0"/>
        <w:autoSpaceDE w:val="0"/>
        <w:autoSpaceDN w:val="0"/>
        <w:adjustRightInd w:val="0"/>
        <w:spacing w:before="180"/>
        <w:contextualSpacing/>
        <w:textAlignment w:val="baseline"/>
        <w:rPr>
          <w:rFonts w:ascii="Calibri" w:hAnsi="Calibri" w:cs="Calibri"/>
          <w:b/>
          <w:color w:val="008000"/>
          <w:sz w:val="18"/>
          <w:szCs w:val="18"/>
        </w:rPr>
      </w:pPr>
    </w:p>
    <w:p w14:paraId="5034B519" w14:textId="77777777" w:rsidR="00431A24" w:rsidRDefault="00431A24" w:rsidP="00431A24">
      <w:pPr>
        <w:spacing w:after="120"/>
        <w:rPr>
          <w:szCs w:val="21"/>
        </w:rPr>
      </w:pPr>
      <w:r>
        <w:rPr>
          <w:szCs w:val="21"/>
        </w:rPr>
        <w:t>Phase 1, IAB-MT migration, using existing handover procedure.</w:t>
      </w:r>
    </w:p>
    <w:p w14:paraId="11146A09" w14:textId="77777777" w:rsidR="00431A24" w:rsidRDefault="00431A24" w:rsidP="00431A24">
      <w:pPr>
        <w:spacing w:after="120"/>
        <w:rPr>
          <w:szCs w:val="21"/>
        </w:rPr>
      </w:pPr>
      <w:r>
        <w:rPr>
          <w:szCs w:val="21"/>
        </w:rPr>
        <w:t>Phase 2, IAB-DU migration, using two logical DUs to realize DU migration.</w:t>
      </w:r>
    </w:p>
    <w:p w14:paraId="5734889A" w14:textId="77777777" w:rsidR="00431A24" w:rsidRDefault="00431A24" w:rsidP="00431A24">
      <w:pPr>
        <w:spacing w:after="120"/>
        <w:rPr>
          <w:szCs w:val="21"/>
        </w:rPr>
      </w:pPr>
      <w:r>
        <w:rPr>
          <w:szCs w:val="21"/>
        </w:rPr>
        <w:t>Phase 3, UE migration, using group mobility to reduce signalling overhead.</w:t>
      </w:r>
    </w:p>
    <w:p w14:paraId="156951AB" w14:textId="272487F2" w:rsidR="00431A24" w:rsidRDefault="00431A24" w:rsidP="00431A24">
      <w:pPr>
        <w:spacing w:after="120"/>
        <w:rPr>
          <w:b/>
          <w:szCs w:val="21"/>
        </w:rPr>
      </w:pPr>
      <w:r w:rsidRPr="007E4746">
        <w:rPr>
          <w:b/>
          <w:szCs w:val="21"/>
        </w:rPr>
        <w:t xml:space="preserve">Proposal </w:t>
      </w:r>
      <w:r w:rsidR="006F70C2">
        <w:rPr>
          <w:b/>
          <w:szCs w:val="21"/>
        </w:rPr>
        <w:t>3</w:t>
      </w:r>
      <w:r>
        <w:rPr>
          <w:b/>
          <w:szCs w:val="21"/>
        </w:rPr>
        <w:t>, RAN3 agree the stage 2 procedure as follows for full migration</w:t>
      </w:r>
    </w:p>
    <w:p w14:paraId="046EB8CF" w14:textId="77777777" w:rsidR="00431A24" w:rsidRPr="00BD5F05" w:rsidRDefault="00431A24" w:rsidP="00431A24">
      <w:pPr>
        <w:spacing w:after="120"/>
        <w:rPr>
          <w:b/>
          <w:szCs w:val="21"/>
        </w:rPr>
      </w:pPr>
      <w:r w:rsidRPr="00BD5F05">
        <w:rPr>
          <w:b/>
          <w:szCs w:val="21"/>
        </w:rPr>
        <w:t>Phase 1, IAB-MT migration</w:t>
      </w:r>
    </w:p>
    <w:p w14:paraId="26B48CB5" w14:textId="77777777" w:rsidR="00431A24" w:rsidRPr="00BD5F05" w:rsidRDefault="00431A24" w:rsidP="00431A24">
      <w:pPr>
        <w:spacing w:after="120"/>
        <w:rPr>
          <w:b/>
          <w:szCs w:val="21"/>
        </w:rPr>
      </w:pPr>
      <w:r w:rsidRPr="00BD5F05">
        <w:rPr>
          <w:b/>
          <w:szCs w:val="21"/>
        </w:rPr>
        <w:t>Phase 2, IAB-DU migration</w:t>
      </w:r>
    </w:p>
    <w:p w14:paraId="7786B55F" w14:textId="77777777" w:rsidR="00431A24" w:rsidRDefault="00431A24" w:rsidP="00431A24">
      <w:pPr>
        <w:spacing w:after="120"/>
        <w:rPr>
          <w:b/>
          <w:szCs w:val="21"/>
        </w:rPr>
      </w:pPr>
      <w:r w:rsidRPr="00BD5F05">
        <w:rPr>
          <w:b/>
          <w:szCs w:val="21"/>
        </w:rPr>
        <w:t>Phase 3, UE migration</w:t>
      </w:r>
    </w:p>
    <w:p w14:paraId="7355E9EB" w14:textId="1B2FD27E" w:rsidR="00D862C5" w:rsidRPr="00386801" w:rsidRDefault="00D862C5" w:rsidP="00431A24">
      <w:pPr>
        <w:pStyle w:val="2"/>
      </w:pPr>
      <w:r>
        <w:lastRenderedPageBreak/>
        <w:t>2.</w:t>
      </w:r>
      <w:r w:rsidR="006F70C2">
        <w:t>3</w:t>
      </w:r>
      <w:r>
        <w:tab/>
      </w:r>
      <w:r w:rsidR="00C85FFB">
        <w:t>I</w:t>
      </w:r>
      <w:r>
        <w:t>ssues of migration procedure</w:t>
      </w:r>
    </w:p>
    <w:p w14:paraId="7E91C02A" w14:textId="182BB760" w:rsidR="00D862C5" w:rsidRDefault="00D862C5" w:rsidP="004E6C01">
      <w:pPr>
        <w:rPr>
          <w:szCs w:val="21"/>
          <w:lang w:val="en-US"/>
        </w:rPr>
      </w:pPr>
      <w:r>
        <w:rPr>
          <w:szCs w:val="21"/>
        </w:rPr>
        <w:t xml:space="preserve">In RAN3 117e meeting, </w:t>
      </w:r>
      <w:r w:rsidR="00431A24">
        <w:rPr>
          <w:szCs w:val="21"/>
        </w:rPr>
        <w:t xml:space="preserve">since </w:t>
      </w:r>
      <w:proofErr w:type="gramStart"/>
      <w:r w:rsidRPr="0019788D">
        <w:rPr>
          <w:rFonts w:ascii="Calibri" w:hAnsi="Calibri" w:cs="Calibri"/>
          <w:b/>
          <w:color w:val="008000"/>
          <w:sz w:val="18"/>
          <w:szCs w:val="18"/>
        </w:rPr>
        <w:t>The</w:t>
      </w:r>
      <w:proofErr w:type="gramEnd"/>
      <w:r w:rsidRPr="0019788D">
        <w:rPr>
          <w:rFonts w:ascii="Calibri" w:hAnsi="Calibri" w:cs="Calibri"/>
          <w:b/>
          <w:color w:val="008000"/>
          <w:sz w:val="18"/>
          <w:szCs w:val="18"/>
        </w:rPr>
        <w:t xml:space="preserve"> mobile IAB-node may perform multiple consecutive partial migrations without inter-donor migration of its mobile IAB-DU</w:t>
      </w:r>
      <w:r w:rsidR="00431A24">
        <w:rPr>
          <w:rFonts w:ascii="Calibri" w:hAnsi="Calibri" w:cs="Calibri"/>
          <w:b/>
          <w:color w:val="008000"/>
          <w:sz w:val="18"/>
          <w:szCs w:val="18"/>
        </w:rPr>
        <w:t>,</w:t>
      </w:r>
      <w:r w:rsidR="00431A24">
        <w:rPr>
          <w:szCs w:val="21"/>
          <w:lang w:val="en-US"/>
        </w:rPr>
        <w:t xml:space="preserve"> </w:t>
      </w:r>
      <w:r w:rsidR="0019788D">
        <w:rPr>
          <w:szCs w:val="21"/>
          <w:lang w:val="en-US"/>
        </w:rPr>
        <w:t>the following issues needs to be discussed:</w:t>
      </w:r>
    </w:p>
    <w:p w14:paraId="1C0EE87B" w14:textId="77FE1EED" w:rsidR="00431A24" w:rsidRPr="00431A24" w:rsidRDefault="0019788D" w:rsidP="00431A24">
      <w:pPr>
        <w:rPr>
          <w:i/>
          <w:szCs w:val="21"/>
          <w:u w:val="single"/>
        </w:rPr>
      </w:pPr>
      <w:r w:rsidRPr="00431A24">
        <w:rPr>
          <w:i/>
          <w:szCs w:val="21"/>
          <w:u w:val="single"/>
        </w:rPr>
        <w:t xml:space="preserve">Issue 1, which entity is responsible for deciding the migration methods (full migration </w:t>
      </w:r>
      <w:r w:rsidR="00307733" w:rsidRPr="00431A24">
        <w:rPr>
          <w:i/>
          <w:szCs w:val="21"/>
          <w:u w:val="single"/>
        </w:rPr>
        <w:t>or</w:t>
      </w:r>
      <w:r w:rsidRPr="00431A24">
        <w:rPr>
          <w:i/>
          <w:szCs w:val="21"/>
          <w:u w:val="single"/>
        </w:rPr>
        <w:t xml:space="preserve"> partial migration), and how? </w:t>
      </w:r>
    </w:p>
    <w:p w14:paraId="2A28C0D1" w14:textId="625A3FA1" w:rsidR="0019788D" w:rsidRPr="006F70C2" w:rsidRDefault="0019788D" w:rsidP="006F70C2">
      <w:pPr>
        <w:rPr>
          <w:i/>
          <w:szCs w:val="21"/>
          <w:u w:val="single"/>
        </w:rPr>
      </w:pPr>
      <w:r w:rsidRPr="006F70C2">
        <w:rPr>
          <w:i/>
          <w:szCs w:val="21"/>
          <w:u w:val="single"/>
        </w:rPr>
        <w:t xml:space="preserve">Issue 2, </w:t>
      </w:r>
      <w:bookmarkStart w:id="3" w:name="_Hlk115084394"/>
      <w:r w:rsidRPr="006F70C2">
        <w:rPr>
          <w:i/>
          <w:szCs w:val="21"/>
          <w:u w:val="single"/>
        </w:rPr>
        <w:t>if the last migration is partial migration, how the target IAB-donor and F1-terminating IAB-donor find each other and identify the corresponding migrating IAB-node</w:t>
      </w:r>
      <w:r w:rsidR="00B4119B" w:rsidRPr="006F70C2">
        <w:rPr>
          <w:i/>
          <w:szCs w:val="21"/>
          <w:u w:val="single"/>
        </w:rPr>
        <w:t xml:space="preserve"> to perform the following migration</w:t>
      </w:r>
      <w:r w:rsidRPr="006F70C2">
        <w:rPr>
          <w:i/>
          <w:szCs w:val="21"/>
          <w:u w:val="single"/>
        </w:rPr>
        <w:t>.</w:t>
      </w:r>
      <w:bookmarkEnd w:id="3"/>
    </w:p>
    <w:p w14:paraId="2E0C421E" w14:textId="77777777" w:rsidR="0019788D" w:rsidRDefault="0019788D" w:rsidP="0019788D">
      <w:pPr>
        <w:pStyle w:val="a9"/>
        <w:ind w:leftChars="0" w:left="720"/>
        <w:rPr>
          <w:szCs w:val="21"/>
        </w:rPr>
      </w:pPr>
    </w:p>
    <w:p w14:paraId="7C892F20" w14:textId="70EB1B8E" w:rsidR="0019788D" w:rsidRDefault="0019788D" w:rsidP="0019788D">
      <w:pPr>
        <w:rPr>
          <w:szCs w:val="21"/>
        </w:rPr>
      </w:pPr>
      <w:r>
        <w:rPr>
          <w:szCs w:val="21"/>
        </w:rPr>
        <w:t xml:space="preserve">For issue 1, when a new migration is needed, it is possible </w:t>
      </w:r>
      <w:r w:rsidR="00B4119B">
        <w:rPr>
          <w:szCs w:val="21"/>
        </w:rPr>
        <w:t>to perform</w:t>
      </w:r>
      <w:r>
        <w:rPr>
          <w:szCs w:val="21"/>
        </w:rPr>
        <w:t xml:space="preserve"> partial migration or full migration</w:t>
      </w:r>
      <w:r w:rsidR="00B4119B">
        <w:rPr>
          <w:szCs w:val="21"/>
        </w:rPr>
        <w:t xml:space="preserve">, RAN3 should discuss </w:t>
      </w:r>
      <w:r w:rsidR="00B4119B" w:rsidRPr="00B4119B">
        <w:rPr>
          <w:szCs w:val="21"/>
        </w:rPr>
        <w:t xml:space="preserve">which entity is responsible for deciding the migration methods (full migration </w:t>
      </w:r>
      <w:r w:rsidR="00307733">
        <w:rPr>
          <w:szCs w:val="21"/>
        </w:rPr>
        <w:t>or</w:t>
      </w:r>
      <w:r w:rsidR="00B4119B" w:rsidRPr="00B4119B">
        <w:rPr>
          <w:szCs w:val="21"/>
        </w:rPr>
        <w:t xml:space="preserve"> partial migration), and how?</w:t>
      </w:r>
      <w:r w:rsidR="006F70C2">
        <w:rPr>
          <w:szCs w:val="21"/>
        </w:rPr>
        <w:t xml:space="preserve"> </w:t>
      </w:r>
    </w:p>
    <w:p w14:paraId="068D00C3" w14:textId="7A345458" w:rsidR="006F70C2" w:rsidRPr="00B4119B" w:rsidRDefault="006F70C2" w:rsidP="0019788D">
      <w:pPr>
        <w:rPr>
          <w:szCs w:val="21"/>
          <w:lang w:val="en-US"/>
        </w:rPr>
      </w:pPr>
      <w:r>
        <w:rPr>
          <w:szCs w:val="21"/>
          <w:lang w:val="en-US"/>
        </w:rPr>
        <w:t>Based on the solution of issue, we can further discuss when and how to initiate DU migration and UE migration.</w:t>
      </w:r>
    </w:p>
    <w:p w14:paraId="7E9B52D7" w14:textId="3964DB4A" w:rsidR="0019788D" w:rsidRDefault="0019788D" w:rsidP="0019788D">
      <w:pPr>
        <w:rPr>
          <w:szCs w:val="21"/>
        </w:rPr>
      </w:pPr>
      <w:r>
        <w:rPr>
          <w:szCs w:val="21"/>
          <w:lang w:val="en-US"/>
        </w:rPr>
        <w:t xml:space="preserve">For issue 2, </w:t>
      </w:r>
      <w:r w:rsidR="00B4119B" w:rsidRPr="0019788D">
        <w:rPr>
          <w:szCs w:val="21"/>
        </w:rPr>
        <w:t>if the last migration is partial migration,</w:t>
      </w:r>
      <w:r w:rsidR="00B4119B">
        <w:rPr>
          <w:szCs w:val="21"/>
        </w:rPr>
        <w:t xml:space="preserve"> there will be three donors involved in one migration</w:t>
      </w:r>
      <w:r w:rsidR="00045D5B">
        <w:rPr>
          <w:szCs w:val="21"/>
        </w:rPr>
        <w:t>, as shown in below figure. After the 1</w:t>
      </w:r>
      <w:r w:rsidR="00045D5B" w:rsidRPr="00045D5B">
        <w:rPr>
          <w:szCs w:val="21"/>
          <w:vertAlign w:val="superscript"/>
        </w:rPr>
        <w:t>st</w:t>
      </w:r>
      <w:r w:rsidR="00045D5B">
        <w:rPr>
          <w:szCs w:val="21"/>
        </w:rPr>
        <w:t xml:space="preserve"> partial migration, the target IAB-donor (i.e. IAB-donor-CU3) needs to communicate with the F1-terminating IAB-donor (IAB-donor-CU1) to perform the operations of partial migration or full migration, but they don’t have any info or context about each other, which need to be discussed in RAN3.</w:t>
      </w:r>
    </w:p>
    <w:p w14:paraId="6C12BDD6" w14:textId="2F995B25" w:rsidR="00045D5B" w:rsidRDefault="00045D5B" w:rsidP="00045D5B">
      <w:pPr>
        <w:pStyle w:val="ad"/>
        <w:ind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099FF9" wp14:editId="79A78B2D">
                <wp:simplePos x="0" y="0"/>
                <wp:positionH relativeFrom="column">
                  <wp:posOffset>2349500</wp:posOffset>
                </wp:positionH>
                <wp:positionV relativeFrom="paragraph">
                  <wp:posOffset>1481878</wp:posOffset>
                </wp:positionV>
                <wp:extent cx="275166" cy="327660"/>
                <wp:effectExtent l="0" t="38100" r="29845" b="53340"/>
                <wp:wrapNone/>
                <wp:docPr id="2" name="箭头: 右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166" cy="327660"/>
                        </a:xfrm>
                        <a:prstGeom prst="rightArrow">
                          <a:avLst>
                            <a:gd name="adj1" fmla="val 50000"/>
                            <a:gd name="adj2" fmla="val 25925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04906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箭头: 右 2" o:spid="_x0000_s1026" type="#_x0000_t13" style="position:absolute;margin-left:185pt;margin-top:116.7pt;width:21.65pt;height:2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" adj="16000" fillcolor="#bbd5f0" strokecolor="#739cc3" strokeweight="1.25pt">
                <v:fill color2="#9cbee0" focus="100%" type="gradient">
                  <o:fill v:ext="view" type="gradientUnscaled"/>
                </v:fill>
              </v:shape>
            </w:pict>
          </mc:Fallback>
        </mc:AlternateContent>
      </w:r>
      <w:r>
        <w:object w:dxaOrig="6171" w:dyaOrig="8881" w14:anchorId="4AE69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3.65pt;height:234.85pt" o:ole="">
            <v:imagedata r:id="rId8" o:title=""/>
          </v:shape>
          <o:OLEObject Type="Embed" ProgID="Visio.Drawing.15" ShapeID="_x0000_i1025" DrawAspect="Content" ObjectID="_1725873583" r:id="rId9"/>
        </w:object>
      </w:r>
      <w:r>
        <w:t xml:space="preserve">       </w:t>
      </w:r>
      <w:r>
        <w:object w:dxaOrig="9211" w:dyaOrig="8881" w14:anchorId="0A57F9B1">
          <v:shape id="_x0000_i1026" type="#_x0000_t75" style="width:242.2pt;height:234.5pt" o:ole="">
            <v:imagedata r:id="rId10" o:title=""/>
          </v:shape>
          <o:OLEObject Type="Embed" ProgID="Visio.Drawing.15" ShapeID="_x0000_i1026" DrawAspect="Content" ObjectID="_1725873584" r:id="rId11"/>
        </w:object>
      </w:r>
    </w:p>
    <w:p w14:paraId="249873A6" w14:textId="09C7092E" w:rsidR="00045D5B" w:rsidRDefault="00045D5B" w:rsidP="00045D5B">
      <w:pPr>
        <w:pStyle w:val="ad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B7D7DE" wp14:editId="54EB3E79">
                <wp:simplePos x="0" y="0"/>
                <wp:positionH relativeFrom="column">
                  <wp:posOffset>3674429</wp:posOffset>
                </wp:positionH>
                <wp:positionV relativeFrom="paragraph">
                  <wp:posOffset>944139</wp:posOffset>
                </wp:positionV>
                <wp:extent cx="202459" cy="242043"/>
                <wp:effectExtent l="0" t="20003" r="44768" b="44767"/>
                <wp:wrapNone/>
                <wp:docPr id="5" name="箭头: 下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02459" cy="242043"/>
                        </a:xfrm>
                        <a:prstGeom prst="downArrow">
                          <a:avLst>
                            <a:gd name="adj1" fmla="val 50000"/>
                            <a:gd name="adj2" fmla="val 39189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AC68D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箭头: 下 5" o:spid="_x0000_s1026" type="#_x0000_t67" style="position:absolute;margin-left:289.35pt;margin-top:74.35pt;width:15.95pt;height:19.05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" adj="14520" fillcolor="#bbd5f0" strokecolor="#739cc3" strokeweight="1.25pt">
                <v:fill color2="#9cbee0" focus="100%" type="gradient">
                  <o:fill v:ext="view" type="gradientUnscaled"/>
                </v:fill>
                <v:textbox style="layout-flow:vertical-ideograph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996D4B" wp14:editId="604C5A15">
                <wp:simplePos x="0" y="0"/>
                <wp:positionH relativeFrom="column">
                  <wp:posOffset>1403669</wp:posOffset>
                </wp:positionH>
                <wp:positionV relativeFrom="paragraph">
                  <wp:posOffset>887624</wp:posOffset>
                </wp:positionV>
                <wp:extent cx="202459" cy="242043"/>
                <wp:effectExtent l="0" t="20003" r="44768" b="44767"/>
                <wp:wrapNone/>
                <wp:docPr id="4" name="箭头: 下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02459" cy="242043"/>
                        </a:xfrm>
                        <a:prstGeom prst="downArrow">
                          <a:avLst>
                            <a:gd name="adj1" fmla="val 50000"/>
                            <a:gd name="adj2" fmla="val 39189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99653" id="箭头: 下 4" o:spid="_x0000_s1026" type="#_x0000_t67" style="position:absolute;margin-left:110.55pt;margin-top:69.9pt;width:15.95pt;height:19.05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" adj="14520" fillcolor="#bbd5f0" strokecolor="#739cc3" strokeweight="1.25pt">
                <v:fill color2="#9cbee0" focus="100%" type="gradient">
                  <o:fill v:ext="view" type="gradientUnscaled"/>
                </v:fill>
                <v:textbox style="layout-flow:vertical-ideographic"/>
              </v:shape>
            </w:pict>
          </mc:Fallback>
        </mc:AlternateContent>
      </w:r>
      <w:r>
        <w:object w:dxaOrig="6171" w:dyaOrig="8881" w14:anchorId="32ABD2C8">
          <v:shape id="_x0000_i1027" type="#_x0000_t75" style="width:112.45pt;height:160.55pt" o:ole="">
            <v:imagedata r:id="rId8" o:title=""/>
          </v:shape>
          <o:OLEObject Type="Embed" ProgID="Visio.Drawing.15" ShapeID="_x0000_i1027" DrawAspect="Content" ObjectID="_1725873585" r:id="rId12"/>
        </w:object>
      </w:r>
      <w:r>
        <w:t xml:space="preserve">    </w:t>
      </w:r>
      <w:r>
        <w:object w:dxaOrig="19411" w:dyaOrig="8870" w14:anchorId="04C2147B">
          <v:shape id="_x0000_i1028" type="#_x0000_t75" style="width:347.3pt;height:159.4pt" o:ole="">
            <v:imagedata r:id="rId13" o:title=""/>
          </v:shape>
          <o:OLEObject Type="Embed" ProgID="Visio.Drawing.15" ShapeID="_x0000_i1028" DrawAspect="Content" ObjectID="_1725873586" r:id="rId14"/>
        </w:object>
      </w:r>
    </w:p>
    <w:p w14:paraId="746ADE5C" w14:textId="6D3D6D10" w:rsidR="00B4119B" w:rsidRDefault="00B4119B" w:rsidP="0019788D">
      <w:pPr>
        <w:rPr>
          <w:szCs w:val="21"/>
          <w:lang w:val="en-US"/>
        </w:rPr>
      </w:pPr>
    </w:p>
    <w:p w14:paraId="688DEE14" w14:textId="5C85F23A" w:rsidR="00045D5B" w:rsidRPr="00045D5B" w:rsidRDefault="00045D5B" w:rsidP="0019788D">
      <w:pPr>
        <w:rPr>
          <w:b/>
          <w:szCs w:val="21"/>
          <w:lang w:val="en-US"/>
        </w:rPr>
      </w:pPr>
      <w:r w:rsidRPr="00045D5B">
        <w:rPr>
          <w:b/>
          <w:szCs w:val="21"/>
          <w:lang w:val="en-US"/>
        </w:rPr>
        <w:t>Proposal</w:t>
      </w:r>
      <w:r w:rsidR="006F70C2">
        <w:rPr>
          <w:b/>
          <w:szCs w:val="21"/>
          <w:lang w:val="en-US"/>
        </w:rPr>
        <w:t xml:space="preserve"> 4</w:t>
      </w:r>
      <w:r w:rsidRPr="00045D5B">
        <w:rPr>
          <w:b/>
          <w:szCs w:val="21"/>
          <w:lang w:val="en-US"/>
        </w:rPr>
        <w:t>, RAN3 to discuss</w:t>
      </w:r>
      <w:r w:rsidRPr="00045D5B">
        <w:rPr>
          <w:b/>
        </w:rPr>
        <w:t xml:space="preserve"> </w:t>
      </w:r>
      <w:r w:rsidRPr="00045D5B">
        <w:rPr>
          <w:b/>
          <w:szCs w:val="21"/>
          <w:lang w:val="en-US"/>
        </w:rPr>
        <w:t xml:space="preserve">which entity is responsible for deciding the migration methods (full migration </w:t>
      </w:r>
      <w:r w:rsidR="00307733">
        <w:rPr>
          <w:b/>
          <w:szCs w:val="21"/>
          <w:lang w:val="en-US"/>
        </w:rPr>
        <w:t>or</w:t>
      </w:r>
      <w:r w:rsidRPr="00045D5B">
        <w:rPr>
          <w:b/>
          <w:szCs w:val="21"/>
          <w:lang w:val="en-US"/>
        </w:rPr>
        <w:t xml:space="preserve"> partial migration), and how.</w:t>
      </w:r>
    </w:p>
    <w:p w14:paraId="5F3EDDEB" w14:textId="030004E1" w:rsidR="00045D5B" w:rsidRPr="00045D5B" w:rsidRDefault="00045D5B" w:rsidP="0019788D">
      <w:pPr>
        <w:rPr>
          <w:b/>
          <w:szCs w:val="21"/>
          <w:lang w:val="en-US"/>
        </w:rPr>
      </w:pPr>
      <w:r w:rsidRPr="00045D5B">
        <w:rPr>
          <w:b/>
          <w:szCs w:val="21"/>
          <w:lang w:val="en-US"/>
        </w:rPr>
        <w:lastRenderedPageBreak/>
        <w:t>Proposal</w:t>
      </w:r>
      <w:r w:rsidR="006F70C2">
        <w:rPr>
          <w:b/>
          <w:szCs w:val="21"/>
          <w:lang w:val="en-US"/>
        </w:rPr>
        <w:t xml:space="preserve"> 5</w:t>
      </w:r>
      <w:r w:rsidRPr="00045D5B">
        <w:rPr>
          <w:b/>
          <w:szCs w:val="21"/>
          <w:lang w:val="en-US"/>
        </w:rPr>
        <w:t>, RAN3 to discuss</w:t>
      </w:r>
      <w:r w:rsidRPr="00045D5B">
        <w:rPr>
          <w:b/>
        </w:rPr>
        <w:t xml:space="preserve"> </w:t>
      </w:r>
      <w:r w:rsidRPr="00045D5B">
        <w:rPr>
          <w:b/>
          <w:szCs w:val="21"/>
          <w:lang w:val="en-US"/>
        </w:rPr>
        <w:t>if the last migration is partial migration, how the target IAB-donor and F1-terminating IAB-donor find each other and identify the corresponding migrating IAB-node to perform the following migration</w:t>
      </w:r>
      <w:r w:rsidR="00BA7BA8">
        <w:rPr>
          <w:b/>
          <w:szCs w:val="21"/>
          <w:lang w:val="en-US"/>
        </w:rPr>
        <w:t xml:space="preserve"> operation</w:t>
      </w:r>
      <w:r w:rsidRPr="00045D5B">
        <w:rPr>
          <w:b/>
          <w:szCs w:val="21"/>
          <w:lang w:val="en-US"/>
        </w:rPr>
        <w:t>.</w:t>
      </w:r>
    </w:p>
    <w:bookmarkEnd w:id="2"/>
    <w:p w14:paraId="0D110258" w14:textId="77777777" w:rsidR="00CD4C7B" w:rsidRPr="006E13D1" w:rsidRDefault="00972FD7" w:rsidP="00CD4C7B">
      <w:pPr>
        <w:pStyle w:val="1"/>
      </w:pPr>
      <w:r>
        <w:t>3</w:t>
      </w:r>
      <w:r w:rsidR="00CD4C7B" w:rsidRPr="006E13D1">
        <w:tab/>
      </w:r>
      <w:r>
        <w:t>Conclusion</w:t>
      </w:r>
    </w:p>
    <w:p w14:paraId="6093981F" w14:textId="5177F8DC" w:rsidR="00CD4C7B" w:rsidRDefault="00755770" w:rsidP="00CD4C7B">
      <w:r>
        <w:t xml:space="preserve">In this contribution, we discussed </w:t>
      </w:r>
      <w:r w:rsidR="006F70C2">
        <w:t>the scenario, procedure and issue for migration procedures</w:t>
      </w:r>
      <w:r>
        <w:t>, and had the following observations and proposals.</w:t>
      </w:r>
    </w:p>
    <w:p w14:paraId="22034D86" w14:textId="77777777" w:rsidR="006F70C2" w:rsidRPr="00D862C5" w:rsidRDefault="006F70C2" w:rsidP="006F70C2">
      <w:pPr>
        <w:rPr>
          <w:b/>
          <w:szCs w:val="21"/>
        </w:rPr>
      </w:pPr>
      <w:r w:rsidRPr="00D862C5">
        <w:rPr>
          <w:b/>
          <w:szCs w:val="21"/>
        </w:rPr>
        <w:t>Observation</w:t>
      </w:r>
      <w:r>
        <w:rPr>
          <w:b/>
          <w:szCs w:val="21"/>
        </w:rPr>
        <w:t xml:space="preserve"> 1</w:t>
      </w:r>
      <w:r w:rsidRPr="00D862C5">
        <w:rPr>
          <w:b/>
          <w:szCs w:val="21"/>
        </w:rPr>
        <w:t>, the scenario of mobile IAB-DU only migration is based on the new architecture of introducing a new entity like master IAB-donor or anchor IAB-donor, the need of this new architecture is not clear and necessary, which may bring more spec impact.</w:t>
      </w:r>
    </w:p>
    <w:p w14:paraId="73C1D4A2" w14:textId="77777777" w:rsidR="006F70C2" w:rsidRPr="00D862C5" w:rsidRDefault="006F70C2" w:rsidP="006F70C2">
      <w:pPr>
        <w:rPr>
          <w:b/>
          <w:szCs w:val="21"/>
        </w:rPr>
      </w:pPr>
      <w:r w:rsidRPr="00D862C5">
        <w:rPr>
          <w:b/>
          <w:szCs w:val="21"/>
        </w:rPr>
        <w:t>Observation</w:t>
      </w:r>
      <w:r>
        <w:rPr>
          <w:b/>
          <w:szCs w:val="21"/>
        </w:rPr>
        <w:t xml:space="preserve"> 2</w:t>
      </w:r>
      <w:r w:rsidRPr="00D862C5">
        <w:rPr>
          <w:b/>
          <w:szCs w:val="21"/>
        </w:rPr>
        <w:t>, even in the new architecture, full migration is necessary and must be supported in R18.</w:t>
      </w:r>
    </w:p>
    <w:p w14:paraId="6E074B93" w14:textId="77777777" w:rsidR="006F70C2" w:rsidRPr="00D862C5" w:rsidRDefault="006F70C2" w:rsidP="006F70C2">
      <w:pPr>
        <w:rPr>
          <w:b/>
          <w:szCs w:val="21"/>
        </w:rPr>
      </w:pPr>
      <w:r w:rsidRPr="00D862C5">
        <w:rPr>
          <w:b/>
          <w:szCs w:val="21"/>
        </w:rPr>
        <w:t>Proposal</w:t>
      </w:r>
      <w:r>
        <w:rPr>
          <w:b/>
          <w:szCs w:val="21"/>
        </w:rPr>
        <w:t xml:space="preserve"> 1</w:t>
      </w:r>
      <w:r w:rsidRPr="00D862C5">
        <w:rPr>
          <w:b/>
          <w:szCs w:val="21"/>
        </w:rPr>
        <w:t>, RAN3 agree to support and focus on the scenario of full migration in R18.</w:t>
      </w:r>
    </w:p>
    <w:p w14:paraId="28EB4901" w14:textId="4D912AF7" w:rsidR="006F70C2" w:rsidRDefault="006F70C2" w:rsidP="006F70C2">
      <w:pPr>
        <w:rPr>
          <w:b/>
          <w:szCs w:val="21"/>
        </w:rPr>
      </w:pPr>
      <w:r w:rsidRPr="00D862C5">
        <w:rPr>
          <w:b/>
          <w:szCs w:val="21"/>
          <w:lang w:val="en-US"/>
        </w:rPr>
        <w:t>Proposal</w:t>
      </w:r>
      <w:r>
        <w:rPr>
          <w:b/>
          <w:szCs w:val="21"/>
          <w:lang w:val="en-US"/>
        </w:rPr>
        <w:t xml:space="preserve"> 2</w:t>
      </w:r>
      <w:r w:rsidRPr="00D862C5">
        <w:rPr>
          <w:b/>
          <w:szCs w:val="21"/>
          <w:lang w:val="en-US"/>
        </w:rPr>
        <w:t>, the scenario of</w:t>
      </w:r>
      <w:r w:rsidRPr="00D862C5">
        <w:rPr>
          <w:b/>
          <w:szCs w:val="21"/>
        </w:rPr>
        <w:t xml:space="preserve"> mobile IAB-DU only migration is not supported or de-prioritized in R18.</w:t>
      </w:r>
    </w:p>
    <w:p w14:paraId="4B381F27" w14:textId="77777777" w:rsidR="006F70C2" w:rsidRDefault="006F70C2" w:rsidP="006F70C2">
      <w:pPr>
        <w:spacing w:after="120"/>
        <w:rPr>
          <w:b/>
          <w:szCs w:val="21"/>
        </w:rPr>
      </w:pPr>
      <w:r w:rsidRPr="007E4746">
        <w:rPr>
          <w:b/>
          <w:szCs w:val="21"/>
        </w:rPr>
        <w:t xml:space="preserve">Proposal </w:t>
      </w:r>
      <w:r>
        <w:rPr>
          <w:b/>
          <w:szCs w:val="21"/>
        </w:rPr>
        <w:t>3, RAN3 agree the stage 2 procedure as follows for full migration</w:t>
      </w:r>
    </w:p>
    <w:p w14:paraId="430FEE7D" w14:textId="77777777" w:rsidR="006F70C2" w:rsidRPr="00BD5F05" w:rsidRDefault="006F70C2" w:rsidP="006F70C2">
      <w:pPr>
        <w:spacing w:after="120"/>
        <w:rPr>
          <w:b/>
          <w:szCs w:val="21"/>
        </w:rPr>
      </w:pPr>
      <w:r w:rsidRPr="00BD5F05">
        <w:rPr>
          <w:b/>
          <w:szCs w:val="21"/>
        </w:rPr>
        <w:t>Phase 1, IAB-MT migration</w:t>
      </w:r>
    </w:p>
    <w:p w14:paraId="553D0AA6" w14:textId="77777777" w:rsidR="006F70C2" w:rsidRPr="00BD5F05" w:rsidRDefault="006F70C2" w:rsidP="006F70C2">
      <w:pPr>
        <w:spacing w:after="120"/>
        <w:rPr>
          <w:b/>
          <w:szCs w:val="21"/>
        </w:rPr>
      </w:pPr>
      <w:r w:rsidRPr="00BD5F05">
        <w:rPr>
          <w:b/>
          <w:szCs w:val="21"/>
        </w:rPr>
        <w:t>Phase 2, IAB-DU migration</w:t>
      </w:r>
    </w:p>
    <w:p w14:paraId="21CE68F5" w14:textId="77777777" w:rsidR="006F70C2" w:rsidRDefault="006F70C2" w:rsidP="006F70C2">
      <w:pPr>
        <w:spacing w:after="120"/>
        <w:rPr>
          <w:b/>
          <w:szCs w:val="21"/>
        </w:rPr>
      </w:pPr>
      <w:r w:rsidRPr="00BD5F05">
        <w:rPr>
          <w:b/>
          <w:szCs w:val="21"/>
        </w:rPr>
        <w:t>Phase 3, UE migration</w:t>
      </w:r>
    </w:p>
    <w:p w14:paraId="7145A94A" w14:textId="77777777" w:rsidR="006F70C2" w:rsidRPr="00045D5B" w:rsidRDefault="006F70C2" w:rsidP="006F70C2">
      <w:pPr>
        <w:rPr>
          <w:b/>
          <w:szCs w:val="21"/>
          <w:lang w:val="en-US"/>
        </w:rPr>
      </w:pPr>
      <w:r w:rsidRPr="00045D5B">
        <w:rPr>
          <w:b/>
          <w:szCs w:val="21"/>
          <w:lang w:val="en-US"/>
        </w:rPr>
        <w:t>Proposal</w:t>
      </w:r>
      <w:r>
        <w:rPr>
          <w:b/>
          <w:szCs w:val="21"/>
          <w:lang w:val="en-US"/>
        </w:rPr>
        <w:t xml:space="preserve"> 4</w:t>
      </w:r>
      <w:r w:rsidRPr="00045D5B">
        <w:rPr>
          <w:b/>
          <w:szCs w:val="21"/>
          <w:lang w:val="en-US"/>
        </w:rPr>
        <w:t>, RAN3 to discuss</w:t>
      </w:r>
      <w:r w:rsidRPr="00045D5B">
        <w:rPr>
          <w:b/>
        </w:rPr>
        <w:t xml:space="preserve"> </w:t>
      </w:r>
      <w:r w:rsidRPr="00045D5B">
        <w:rPr>
          <w:b/>
          <w:szCs w:val="21"/>
          <w:lang w:val="en-US"/>
        </w:rPr>
        <w:t xml:space="preserve">which entity is responsible for deciding the migration methods (full migration </w:t>
      </w:r>
      <w:r>
        <w:rPr>
          <w:b/>
          <w:szCs w:val="21"/>
          <w:lang w:val="en-US"/>
        </w:rPr>
        <w:t>or</w:t>
      </w:r>
      <w:r w:rsidRPr="00045D5B">
        <w:rPr>
          <w:b/>
          <w:szCs w:val="21"/>
          <w:lang w:val="en-US"/>
        </w:rPr>
        <w:t xml:space="preserve"> partial migration), and how.</w:t>
      </w:r>
    </w:p>
    <w:p w14:paraId="552A1A19" w14:textId="7B213F0C" w:rsidR="006F70C2" w:rsidRPr="00D862C5" w:rsidRDefault="006F70C2" w:rsidP="006F70C2">
      <w:pPr>
        <w:rPr>
          <w:b/>
          <w:szCs w:val="21"/>
          <w:lang w:val="en-US"/>
        </w:rPr>
      </w:pPr>
      <w:r w:rsidRPr="00045D5B">
        <w:rPr>
          <w:b/>
          <w:szCs w:val="21"/>
          <w:lang w:val="en-US"/>
        </w:rPr>
        <w:t>Proposal</w:t>
      </w:r>
      <w:r>
        <w:rPr>
          <w:b/>
          <w:szCs w:val="21"/>
          <w:lang w:val="en-US"/>
        </w:rPr>
        <w:t xml:space="preserve"> 5</w:t>
      </w:r>
      <w:r w:rsidRPr="00045D5B">
        <w:rPr>
          <w:b/>
          <w:szCs w:val="21"/>
          <w:lang w:val="en-US"/>
        </w:rPr>
        <w:t>, RAN3 to discuss</w:t>
      </w:r>
      <w:r w:rsidRPr="00045D5B">
        <w:rPr>
          <w:b/>
        </w:rPr>
        <w:t xml:space="preserve"> </w:t>
      </w:r>
      <w:r w:rsidRPr="00045D5B">
        <w:rPr>
          <w:b/>
          <w:szCs w:val="21"/>
          <w:lang w:val="en-US"/>
        </w:rPr>
        <w:t>if the last migration is partial migration, how the target IAB-donor and F1-terminating IAB-donor find each other and identify the corresponding migrating IAB-node to perform the following migration</w:t>
      </w:r>
      <w:r w:rsidR="00BA7BA8">
        <w:rPr>
          <w:b/>
          <w:szCs w:val="21"/>
          <w:lang w:val="en-US"/>
        </w:rPr>
        <w:t xml:space="preserve"> </w:t>
      </w:r>
      <w:r w:rsidR="00BA7BA8">
        <w:rPr>
          <w:b/>
          <w:szCs w:val="21"/>
          <w:lang w:val="en-US"/>
        </w:rPr>
        <w:t>operation</w:t>
      </w:r>
      <w:bookmarkStart w:id="4" w:name="_GoBack"/>
      <w:bookmarkEnd w:id="4"/>
      <w:r w:rsidRPr="00045D5B">
        <w:rPr>
          <w:b/>
          <w:szCs w:val="21"/>
          <w:lang w:val="en-US"/>
        </w:rPr>
        <w:t>.</w:t>
      </w:r>
    </w:p>
    <w:p w14:paraId="193FD945" w14:textId="41EEED5D" w:rsidR="00CD4C7B" w:rsidRPr="006E13D1" w:rsidRDefault="00342065" w:rsidP="00CD4C7B">
      <w:pPr>
        <w:pStyle w:val="1"/>
      </w:pPr>
      <w:r>
        <w:t>4</w:t>
      </w:r>
      <w:r>
        <w:tab/>
      </w:r>
      <w:r w:rsidR="00CD4C7B" w:rsidRPr="006E13D1">
        <w:t>References</w:t>
      </w:r>
    </w:p>
    <w:p w14:paraId="0BA2BD6A" w14:textId="762D33F2" w:rsidR="00080512" w:rsidRPr="00CD4C7B" w:rsidRDefault="00080512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3F5BE" w14:textId="77777777" w:rsidR="000E383B" w:rsidRDefault="000E383B">
      <w:r>
        <w:separator/>
      </w:r>
    </w:p>
  </w:endnote>
  <w:endnote w:type="continuationSeparator" w:id="0">
    <w:p w14:paraId="1C23C30B" w14:textId="77777777" w:rsidR="000E383B" w:rsidRDefault="000E3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6265C" w14:textId="77777777" w:rsidR="000E383B" w:rsidRDefault="000E383B">
      <w:r>
        <w:separator/>
      </w:r>
    </w:p>
  </w:footnote>
  <w:footnote w:type="continuationSeparator" w:id="0">
    <w:p w14:paraId="15DAF8A6" w14:textId="77777777" w:rsidR="000E383B" w:rsidRDefault="000E3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977179"/>
    <w:multiLevelType w:val="hybridMultilevel"/>
    <w:tmpl w:val="E99CCA00"/>
    <w:lvl w:ilvl="0" w:tplc="CC22BB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050A"/>
    <w:multiLevelType w:val="hybridMultilevel"/>
    <w:tmpl w:val="DCBE1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83BA5"/>
    <w:multiLevelType w:val="hybridMultilevel"/>
    <w:tmpl w:val="D80247B2"/>
    <w:lvl w:ilvl="0" w:tplc="E5C0BA34">
      <w:start w:val="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5E245D"/>
    <w:multiLevelType w:val="hybridMultilevel"/>
    <w:tmpl w:val="074C55AA"/>
    <w:lvl w:ilvl="0" w:tplc="879618FE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CA1AF3"/>
    <w:multiLevelType w:val="hybridMultilevel"/>
    <w:tmpl w:val="8A9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13"/>
  </w:num>
  <w:num w:numId="6">
    <w:abstractNumId w:val="6"/>
  </w:num>
  <w:num w:numId="7">
    <w:abstractNumId w:val="11"/>
  </w:num>
  <w:num w:numId="8">
    <w:abstractNumId w:val="12"/>
  </w:num>
  <w:num w:numId="9">
    <w:abstractNumId w:val="7"/>
  </w:num>
  <w:num w:numId="10">
    <w:abstractNumId w:val="10"/>
  </w:num>
  <w:num w:numId="11">
    <w:abstractNumId w:val="4"/>
  </w:num>
  <w:num w:numId="12">
    <w:abstractNumId w:val="9"/>
  </w:num>
  <w:num w:numId="13">
    <w:abstractNumId w:val="8"/>
  </w:num>
  <w:num w:numId="14">
    <w:abstractNumId w:val="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54C7"/>
    <w:rsid w:val="00021025"/>
    <w:rsid w:val="0003263B"/>
    <w:rsid w:val="00033397"/>
    <w:rsid w:val="000342C7"/>
    <w:rsid w:val="00040095"/>
    <w:rsid w:val="00045D5B"/>
    <w:rsid w:val="0005563E"/>
    <w:rsid w:val="00080512"/>
    <w:rsid w:val="00083F0D"/>
    <w:rsid w:val="000904E9"/>
    <w:rsid w:val="00096CCA"/>
    <w:rsid w:val="000B7BCF"/>
    <w:rsid w:val="000C1506"/>
    <w:rsid w:val="000C556D"/>
    <w:rsid w:val="000D376D"/>
    <w:rsid w:val="000D58AB"/>
    <w:rsid w:val="000E383B"/>
    <w:rsid w:val="000F1DB2"/>
    <w:rsid w:val="000F693F"/>
    <w:rsid w:val="001075B7"/>
    <w:rsid w:val="001265F8"/>
    <w:rsid w:val="0013262A"/>
    <w:rsid w:val="001370F2"/>
    <w:rsid w:val="001475FB"/>
    <w:rsid w:val="001549DD"/>
    <w:rsid w:val="00155FF2"/>
    <w:rsid w:val="0017527C"/>
    <w:rsid w:val="00190CAC"/>
    <w:rsid w:val="00194CD0"/>
    <w:rsid w:val="0019788D"/>
    <w:rsid w:val="001B08B3"/>
    <w:rsid w:val="001B5DF8"/>
    <w:rsid w:val="001C4281"/>
    <w:rsid w:val="001D0D3F"/>
    <w:rsid w:val="001E39D1"/>
    <w:rsid w:val="001E6294"/>
    <w:rsid w:val="001F168B"/>
    <w:rsid w:val="001F70B7"/>
    <w:rsid w:val="00225F6D"/>
    <w:rsid w:val="0022606D"/>
    <w:rsid w:val="002305DD"/>
    <w:rsid w:val="00243BC7"/>
    <w:rsid w:val="00250D89"/>
    <w:rsid w:val="002546FB"/>
    <w:rsid w:val="002623FC"/>
    <w:rsid w:val="002747EC"/>
    <w:rsid w:val="002855BF"/>
    <w:rsid w:val="002868BC"/>
    <w:rsid w:val="002953B2"/>
    <w:rsid w:val="002E1692"/>
    <w:rsid w:val="002F0D22"/>
    <w:rsid w:val="002F5942"/>
    <w:rsid w:val="00307733"/>
    <w:rsid w:val="003172DC"/>
    <w:rsid w:val="003238E8"/>
    <w:rsid w:val="00326069"/>
    <w:rsid w:val="00342065"/>
    <w:rsid w:val="003454FC"/>
    <w:rsid w:val="00353B12"/>
    <w:rsid w:val="0035462D"/>
    <w:rsid w:val="00363177"/>
    <w:rsid w:val="003702F7"/>
    <w:rsid w:val="00370F20"/>
    <w:rsid w:val="003717A7"/>
    <w:rsid w:val="00385F81"/>
    <w:rsid w:val="00386801"/>
    <w:rsid w:val="003B3FB3"/>
    <w:rsid w:val="003B5FD6"/>
    <w:rsid w:val="003C4E37"/>
    <w:rsid w:val="003E1194"/>
    <w:rsid w:val="003E16BE"/>
    <w:rsid w:val="003E7223"/>
    <w:rsid w:val="00401855"/>
    <w:rsid w:val="00406760"/>
    <w:rsid w:val="00431A24"/>
    <w:rsid w:val="00455983"/>
    <w:rsid w:val="00464695"/>
    <w:rsid w:val="004A0AA2"/>
    <w:rsid w:val="004C53DC"/>
    <w:rsid w:val="004C5539"/>
    <w:rsid w:val="004D3578"/>
    <w:rsid w:val="004D380D"/>
    <w:rsid w:val="004D3F58"/>
    <w:rsid w:val="004D5E47"/>
    <w:rsid w:val="004E0173"/>
    <w:rsid w:val="004E213A"/>
    <w:rsid w:val="004E21FC"/>
    <w:rsid w:val="004E6C01"/>
    <w:rsid w:val="00503171"/>
    <w:rsid w:val="005153FE"/>
    <w:rsid w:val="005240A4"/>
    <w:rsid w:val="00531C12"/>
    <w:rsid w:val="00534DA0"/>
    <w:rsid w:val="005361A0"/>
    <w:rsid w:val="00540B31"/>
    <w:rsid w:val="00543E6C"/>
    <w:rsid w:val="00544635"/>
    <w:rsid w:val="00557E1D"/>
    <w:rsid w:val="005626DD"/>
    <w:rsid w:val="00565087"/>
    <w:rsid w:val="0056573F"/>
    <w:rsid w:val="00565BE9"/>
    <w:rsid w:val="00571CE2"/>
    <w:rsid w:val="0057579F"/>
    <w:rsid w:val="00587958"/>
    <w:rsid w:val="005A4971"/>
    <w:rsid w:val="005B1232"/>
    <w:rsid w:val="005B2EEF"/>
    <w:rsid w:val="005D0F3B"/>
    <w:rsid w:val="005D4274"/>
    <w:rsid w:val="005E3C56"/>
    <w:rsid w:val="005F1BD4"/>
    <w:rsid w:val="00605E3E"/>
    <w:rsid w:val="00606DA9"/>
    <w:rsid w:val="00611566"/>
    <w:rsid w:val="00611D47"/>
    <w:rsid w:val="006327AD"/>
    <w:rsid w:val="006538D4"/>
    <w:rsid w:val="00656E1E"/>
    <w:rsid w:val="006604E4"/>
    <w:rsid w:val="0067782C"/>
    <w:rsid w:val="00697E26"/>
    <w:rsid w:val="006B36A5"/>
    <w:rsid w:val="006B3E5D"/>
    <w:rsid w:val="006C54B5"/>
    <w:rsid w:val="006D1E24"/>
    <w:rsid w:val="006F70C2"/>
    <w:rsid w:val="0070147B"/>
    <w:rsid w:val="00702BDF"/>
    <w:rsid w:val="007304F5"/>
    <w:rsid w:val="00734A5B"/>
    <w:rsid w:val="00741EC5"/>
    <w:rsid w:val="00743525"/>
    <w:rsid w:val="00744E76"/>
    <w:rsid w:val="007476DB"/>
    <w:rsid w:val="00755770"/>
    <w:rsid w:val="00756B13"/>
    <w:rsid w:val="00757D40"/>
    <w:rsid w:val="00767CDA"/>
    <w:rsid w:val="0077054F"/>
    <w:rsid w:val="00774846"/>
    <w:rsid w:val="00776271"/>
    <w:rsid w:val="00781F0F"/>
    <w:rsid w:val="0078727C"/>
    <w:rsid w:val="00797225"/>
    <w:rsid w:val="00797D4B"/>
    <w:rsid w:val="007C095F"/>
    <w:rsid w:val="007C36EF"/>
    <w:rsid w:val="007D5902"/>
    <w:rsid w:val="007E1F12"/>
    <w:rsid w:val="007E4746"/>
    <w:rsid w:val="007F2676"/>
    <w:rsid w:val="007F3F5F"/>
    <w:rsid w:val="00800860"/>
    <w:rsid w:val="00802106"/>
    <w:rsid w:val="008028A4"/>
    <w:rsid w:val="00806520"/>
    <w:rsid w:val="008223CA"/>
    <w:rsid w:val="00830106"/>
    <w:rsid w:val="00840916"/>
    <w:rsid w:val="008415DA"/>
    <w:rsid w:val="00853EDD"/>
    <w:rsid w:val="008604EE"/>
    <w:rsid w:val="00865B05"/>
    <w:rsid w:val="0087401D"/>
    <w:rsid w:val="008768CA"/>
    <w:rsid w:val="00880559"/>
    <w:rsid w:val="008975A9"/>
    <w:rsid w:val="008A4A6A"/>
    <w:rsid w:val="008A79DE"/>
    <w:rsid w:val="008C2835"/>
    <w:rsid w:val="008C490B"/>
    <w:rsid w:val="008C62FA"/>
    <w:rsid w:val="0090271F"/>
    <w:rsid w:val="00903D8C"/>
    <w:rsid w:val="00904D26"/>
    <w:rsid w:val="00917051"/>
    <w:rsid w:val="009321BB"/>
    <w:rsid w:val="00942EC2"/>
    <w:rsid w:val="00952D8F"/>
    <w:rsid w:val="00954BCB"/>
    <w:rsid w:val="00961B32"/>
    <w:rsid w:val="00971683"/>
    <w:rsid w:val="00972FD7"/>
    <w:rsid w:val="00974BB0"/>
    <w:rsid w:val="009A6E4F"/>
    <w:rsid w:val="009B36EB"/>
    <w:rsid w:val="009B4F59"/>
    <w:rsid w:val="009C4D5C"/>
    <w:rsid w:val="009D0A28"/>
    <w:rsid w:val="009E17E2"/>
    <w:rsid w:val="009F3B54"/>
    <w:rsid w:val="009F75AB"/>
    <w:rsid w:val="009F7E6E"/>
    <w:rsid w:val="00A10F02"/>
    <w:rsid w:val="00A2199E"/>
    <w:rsid w:val="00A4298B"/>
    <w:rsid w:val="00A53724"/>
    <w:rsid w:val="00A61FEF"/>
    <w:rsid w:val="00A64C87"/>
    <w:rsid w:val="00A80B02"/>
    <w:rsid w:val="00A82346"/>
    <w:rsid w:val="00A8361A"/>
    <w:rsid w:val="00A9671C"/>
    <w:rsid w:val="00AB6AAB"/>
    <w:rsid w:val="00AD4BCF"/>
    <w:rsid w:val="00AF4A8E"/>
    <w:rsid w:val="00AF78D5"/>
    <w:rsid w:val="00B03810"/>
    <w:rsid w:val="00B1063A"/>
    <w:rsid w:val="00B15449"/>
    <w:rsid w:val="00B4119B"/>
    <w:rsid w:val="00B41851"/>
    <w:rsid w:val="00B42422"/>
    <w:rsid w:val="00B503D9"/>
    <w:rsid w:val="00B6745D"/>
    <w:rsid w:val="00B9781E"/>
    <w:rsid w:val="00BA6755"/>
    <w:rsid w:val="00BA7BA8"/>
    <w:rsid w:val="00BD5F05"/>
    <w:rsid w:val="00BF79F1"/>
    <w:rsid w:val="00C03035"/>
    <w:rsid w:val="00C275BC"/>
    <w:rsid w:val="00C33079"/>
    <w:rsid w:val="00C365F1"/>
    <w:rsid w:val="00C43B31"/>
    <w:rsid w:val="00C50536"/>
    <w:rsid w:val="00C55EB7"/>
    <w:rsid w:val="00C805B8"/>
    <w:rsid w:val="00C85FFB"/>
    <w:rsid w:val="00C866E9"/>
    <w:rsid w:val="00CA276C"/>
    <w:rsid w:val="00CA3D0C"/>
    <w:rsid w:val="00CB6651"/>
    <w:rsid w:val="00CB6887"/>
    <w:rsid w:val="00CC64B4"/>
    <w:rsid w:val="00CD41C2"/>
    <w:rsid w:val="00CD4C7B"/>
    <w:rsid w:val="00D22038"/>
    <w:rsid w:val="00D23014"/>
    <w:rsid w:val="00D45717"/>
    <w:rsid w:val="00D45D1F"/>
    <w:rsid w:val="00D563CF"/>
    <w:rsid w:val="00D738D6"/>
    <w:rsid w:val="00D764AE"/>
    <w:rsid w:val="00D80795"/>
    <w:rsid w:val="00D80BE8"/>
    <w:rsid w:val="00D82770"/>
    <w:rsid w:val="00D862C5"/>
    <w:rsid w:val="00D87E00"/>
    <w:rsid w:val="00D908B4"/>
    <w:rsid w:val="00D90D48"/>
    <w:rsid w:val="00D9134D"/>
    <w:rsid w:val="00D97CD9"/>
    <w:rsid w:val="00DA132F"/>
    <w:rsid w:val="00DA1CA9"/>
    <w:rsid w:val="00DA5329"/>
    <w:rsid w:val="00DA6945"/>
    <w:rsid w:val="00DA7A03"/>
    <w:rsid w:val="00DB1818"/>
    <w:rsid w:val="00DC1445"/>
    <w:rsid w:val="00DC309B"/>
    <w:rsid w:val="00DC4DA2"/>
    <w:rsid w:val="00DE1406"/>
    <w:rsid w:val="00E0084C"/>
    <w:rsid w:val="00E07838"/>
    <w:rsid w:val="00E305A4"/>
    <w:rsid w:val="00E340BC"/>
    <w:rsid w:val="00E51135"/>
    <w:rsid w:val="00E51F8B"/>
    <w:rsid w:val="00E62835"/>
    <w:rsid w:val="00E77645"/>
    <w:rsid w:val="00E852FF"/>
    <w:rsid w:val="00E90ABE"/>
    <w:rsid w:val="00EA1D56"/>
    <w:rsid w:val="00EA22F8"/>
    <w:rsid w:val="00EC4A25"/>
    <w:rsid w:val="00ED0D91"/>
    <w:rsid w:val="00ED1751"/>
    <w:rsid w:val="00ED7F72"/>
    <w:rsid w:val="00EE022B"/>
    <w:rsid w:val="00EE0A1E"/>
    <w:rsid w:val="00EF2DFA"/>
    <w:rsid w:val="00F01BC8"/>
    <w:rsid w:val="00F025A2"/>
    <w:rsid w:val="00F2026E"/>
    <w:rsid w:val="00F2210A"/>
    <w:rsid w:val="00F37743"/>
    <w:rsid w:val="00F54114"/>
    <w:rsid w:val="00F54A3D"/>
    <w:rsid w:val="00F653B8"/>
    <w:rsid w:val="00F76F8F"/>
    <w:rsid w:val="00FA1266"/>
    <w:rsid w:val="00FA5EEC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b">
    <w:name w:val="Normal (Web)"/>
    <w:basedOn w:val="a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c">
    <w:name w:val="caption"/>
    <w:basedOn w:val="a"/>
    <w:next w:val="a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d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63B32-3BD0-457B-B068-8F5B3788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1107</Words>
  <Characters>6316</Characters>
  <Application>Microsoft Office Word</Application>
  <DocSecurity>0</DocSecurity>
  <Lines>52</Lines>
  <Paragraphs>14</Paragraphs>
  <ScaleCrop>false</ScaleCrop>
  <Company/>
  <LinksUpToDate>false</LinksUpToDate>
  <CharactersWithSpaces>7409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2022-09-28T04:15:00Z</dcterms:created>
  <dcterms:modified xsi:type="dcterms:W3CDTF">2022-09-28T04:15:00Z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